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b/>
          <w:sz w:val="44"/>
          <w:szCs w:val="20"/>
        </w:rPr>
      </w:pPr>
      <w:bookmarkStart w:id="0" w:name="_Toc482189580"/>
    </w:p>
    <w:bookmarkEnd w:id="0"/>
    <w:p>
      <w:pPr>
        <w:jc w:val="center"/>
        <w:rPr>
          <w:rFonts w:ascii="宋体" w:hAnsi="宋体"/>
          <w:sz w:val="36"/>
          <w:szCs w:val="36"/>
        </w:rPr>
      </w:pPr>
      <w:r>
        <w:rPr>
          <w:rFonts w:ascii="宋体" w:hAnsi="宋体"/>
          <w:sz w:val="36"/>
          <w:szCs w:val="36"/>
        </w:rPr>
        <w:t>江苏航运职业技术学院对接</w:t>
      </w:r>
      <w:r>
        <w:rPr>
          <w:rFonts w:hint="eastAsia" w:ascii="宋体" w:hAnsi="宋体"/>
          <w:sz w:val="36"/>
          <w:szCs w:val="36"/>
        </w:rPr>
        <w:t>省交通运输厅</w:t>
      </w:r>
    </w:p>
    <w:p>
      <w:pPr>
        <w:jc w:val="center"/>
        <w:rPr>
          <w:rFonts w:ascii="宋体" w:hAnsi="宋体"/>
          <w:sz w:val="36"/>
          <w:szCs w:val="36"/>
        </w:rPr>
      </w:pPr>
      <w:r>
        <w:rPr>
          <w:rFonts w:hint="eastAsia" w:ascii="宋体" w:hAnsi="宋体"/>
          <w:sz w:val="36"/>
          <w:szCs w:val="36"/>
        </w:rPr>
        <w:t>视频会议系统相关设备采购项目竞争性磋商文件</w:t>
      </w:r>
    </w:p>
    <w:p>
      <w:pPr>
        <w:pStyle w:val="79"/>
        <w:ind w:firstLine="0"/>
        <w:rPr>
          <w:rFonts w:ascii="宋体" w:hAnsi="宋体"/>
          <w:b/>
          <w:bCs/>
          <w:sz w:val="32"/>
          <w:szCs w:val="32"/>
        </w:rPr>
      </w:pPr>
    </w:p>
    <w:p>
      <w:pPr>
        <w:pStyle w:val="79"/>
        <w:ind w:firstLine="988" w:firstLineChars="328"/>
        <w:jc w:val="both"/>
        <w:rPr>
          <w:rFonts w:ascii="宋体" w:hAnsi="宋体"/>
          <w:b/>
          <w:bCs/>
          <w:sz w:val="30"/>
          <w:szCs w:val="30"/>
        </w:rPr>
      </w:pPr>
    </w:p>
    <w:p>
      <w:pPr>
        <w:pStyle w:val="79"/>
        <w:ind w:firstLine="2245" w:firstLineChars="828"/>
        <w:jc w:val="both"/>
        <w:rPr>
          <w:rFonts w:hint="default" w:ascii="宋体" w:hAnsi="宋体" w:eastAsia="宋体"/>
          <w:b/>
          <w:bCs/>
          <w:w w:val="90"/>
          <w:sz w:val="30"/>
          <w:szCs w:val="30"/>
          <w:lang w:val="en-US" w:eastAsia="zh-CN"/>
        </w:rPr>
      </w:pPr>
      <w:r>
        <w:rPr>
          <w:rFonts w:hint="eastAsia" w:ascii="宋体" w:hAnsi="宋体"/>
          <w:b/>
          <w:bCs/>
          <w:w w:val="90"/>
          <w:sz w:val="30"/>
          <w:szCs w:val="30"/>
        </w:rPr>
        <w:t>项目编号：</w:t>
      </w:r>
      <w:r>
        <w:rPr>
          <w:rFonts w:hint="eastAsia" w:ascii="宋体" w:hAnsi="宋体"/>
          <w:b/>
          <w:bCs/>
          <w:w w:val="90"/>
          <w:sz w:val="30"/>
          <w:szCs w:val="30"/>
          <w:lang w:val="en-US" w:eastAsia="zh-CN"/>
        </w:rPr>
        <w:t>HYZB20220702037</w:t>
      </w:r>
    </w:p>
    <w:p>
      <w:pPr>
        <w:pStyle w:val="79"/>
        <w:ind w:firstLine="593" w:firstLineChars="197"/>
        <w:rPr>
          <w:rFonts w:ascii="宋体" w:hAnsi="宋体"/>
          <w:b/>
          <w:bCs/>
          <w:color w:val="FF0000"/>
          <w:sz w:val="30"/>
          <w:szCs w:val="30"/>
        </w:rPr>
      </w:pPr>
    </w:p>
    <w:p>
      <w:pPr>
        <w:pStyle w:val="79"/>
        <w:ind w:firstLine="0"/>
        <w:jc w:val="center"/>
        <w:rPr>
          <w:rFonts w:ascii="宋体" w:hAnsi="宋体"/>
          <w:b/>
          <w:bCs/>
          <w:sz w:val="32"/>
        </w:rPr>
      </w:pPr>
    </w:p>
    <w:p>
      <w:pPr>
        <w:pStyle w:val="79"/>
        <w:ind w:firstLine="0"/>
        <w:jc w:val="center"/>
        <w:rPr>
          <w:rFonts w:ascii="宋体" w:hAnsi="宋体"/>
          <w:b/>
          <w:bCs/>
          <w:sz w:val="32"/>
        </w:rPr>
      </w:pPr>
    </w:p>
    <w:p>
      <w:pPr>
        <w:autoSpaceDE w:val="0"/>
        <w:autoSpaceDN w:val="0"/>
        <w:adjustRightInd w:val="0"/>
        <w:spacing w:line="740" w:lineRule="exact"/>
        <w:rPr>
          <w:rFonts w:ascii="宋体" w:hAnsi="宋体" w:cs="宋体"/>
          <w:b/>
          <w:color w:val="0D0D0D"/>
          <w:kern w:val="0"/>
          <w:sz w:val="32"/>
          <w:szCs w:val="32"/>
        </w:rPr>
      </w:pPr>
    </w:p>
    <w:p>
      <w:pPr>
        <w:autoSpaceDE w:val="0"/>
        <w:autoSpaceDN w:val="0"/>
        <w:adjustRightInd w:val="0"/>
        <w:spacing w:line="740" w:lineRule="exact"/>
        <w:rPr>
          <w:rFonts w:ascii="宋体" w:hAnsi="宋体" w:cs="宋体"/>
          <w:b/>
          <w:color w:val="0D0D0D"/>
          <w:kern w:val="0"/>
          <w:sz w:val="32"/>
          <w:szCs w:val="32"/>
        </w:rPr>
      </w:pPr>
    </w:p>
    <w:p>
      <w:pPr>
        <w:pStyle w:val="80"/>
      </w:pPr>
    </w:p>
    <w:p>
      <w:pPr>
        <w:autoSpaceDE w:val="0"/>
        <w:autoSpaceDN w:val="0"/>
        <w:adjustRightInd w:val="0"/>
        <w:spacing w:line="600" w:lineRule="exact"/>
        <w:ind w:firstLine="1486" w:firstLineChars="500"/>
        <w:rPr>
          <w:rFonts w:ascii="宋体" w:hAnsi="宋体" w:cs="宋体"/>
          <w:b/>
          <w:color w:val="0D0D0D"/>
          <w:spacing w:val="-12"/>
          <w:kern w:val="0"/>
          <w:sz w:val="32"/>
          <w:szCs w:val="32"/>
        </w:rPr>
      </w:pPr>
      <w:r>
        <w:rPr>
          <w:rFonts w:hint="eastAsia" w:ascii="宋体" w:hAnsi="宋体" w:cs="宋体"/>
          <w:b/>
          <w:color w:val="0D0D0D"/>
          <w:spacing w:val="-12"/>
          <w:kern w:val="0"/>
          <w:sz w:val="32"/>
          <w:szCs w:val="32"/>
        </w:rPr>
        <w:t>采购人（盖章）:</w:t>
      </w:r>
      <w:r>
        <w:rPr>
          <w:rFonts w:hint="eastAsia" w:ascii="宋体" w:hAnsi="宋体"/>
          <w:spacing w:val="-12"/>
        </w:rPr>
        <w:t xml:space="preserve"> </w:t>
      </w:r>
      <w:r>
        <w:rPr>
          <w:rFonts w:hint="eastAsia" w:ascii="宋体" w:hAnsi="宋体" w:cs="宋体"/>
          <w:b/>
          <w:spacing w:val="-8"/>
          <w:kern w:val="0"/>
          <w:sz w:val="32"/>
          <w:szCs w:val="32"/>
        </w:rPr>
        <w:t>江苏航运职业技术学院</w:t>
      </w:r>
    </w:p>
    <w:p>
      <w:pPr>
        <w:autoSpaceDE w:val="0"/>
        <w:autoSpaceDN w:val="0"/>
        <w:adjustRightInd w:val="0"/>
        <w:spacing w:line="600" w:lineRule="exact"/>
        <w:rPr>
          <w:rFonts w:ascii="宋体" w:hAnsi="宋体" w:cs="宋体"/>
          <w:b/>
          <w:color w:val="0D0D0D"/>
          <w:kern w:val="0"/>
          <w:sz w:val="32"/>
          <w:szCs w:val="32"/>
        </w:rPr>
      </w:pPr>
    </w:p>
    <w:p>
      <w:pPr>
        <w:autoSpaceDE w:val="0"/>
        <w:autoSpaceDN w:val="0"/>
        <w:adjustRightInd w:val="0"/>
        <w:snapToGrid w:val="0"/>
        <w:spacing w:line="600" w:lineRule="exact"/>
        <w:rPr>
          <w:rFonts w:ascii="宋体" w:hAnsi="宋体" w:cs="宋体"/>
          <w:b/>
          <w:color w:val="0D0D0D"/>
          <w:kern w:val="0"/>
          <w:sz w:val="32"/>
          <w:szCs w:val="32"/>
        </w:rPr>
      </w:pPr>
      <w:r>
        <w:rPr>
          <w:rFonts w:hint="eastAsia" w:ascii="宋体" w:hAnsi="宋体" w:cs="宋体"/>
          <w:b/>
          <w:color w:val="0D0D0D"/>
          <w:kern w:val="0"/>
          <w:sz w:val="32"/>
          <w:szCs w:val="32"/>
        </w:rPr>
        <w:t xml:space="preserve">          日       期 : 2022</w:t>
      </w:r>
      <w:r>
        <w:rPr>
          <w:rFonts w:hint="eastAsia" w:ascii="宋体" w:hAnsi="宋体" w:cs="宋体"/>
          <w:b/>
          <w:kern w:val="0"/>
          <w:sz w:val="32"/>
          <w:szCs w:val="32"/>
        </w:rPr>
        <w:t>年</w:t>
      </w:r>
      <w:r>
        <w:rPr>
          <w:rFonts w:hint="eastAsia" w:ascii="宋体" w:hAnsi="宋体" w:cs="宋体"/>
          <w:b/>
          <w:kern w:val="0"/>
          <w:sz w:val="32"/>
          <w:szCs w:val="32"/>
          <w:lang w:val="en-US" w:eastAsia="zh-CN"/>
        </w:rPr>
        <w:t>7</w:t>
      </w:r>
      <w:r>
        <w:rPr>
          <w:rFonts w:hint="eastAsia" w:ascii="宋体" w:hAnsi="宋体" w:cs="宋体"/>
          <w:b/>
          <w:kern w:val="0"/>
          <w:sz w:val="32"/>
          <w:szCs w:val="32"/>
        </w:rPr>
        <w:t>月</w:t>
      </w:r>
      <w:r>
        <w:rPr>
          <w:rFonts w:hint="eastAsia" w:ascii="宋体" w:hAnsi="宋体" w:cs="宋体"/>
          <w:b/>
          <w:kern w:val="0"/>
          <w:sz w:val="32"/>
          <w:szCs w:val="32"/>
          <w:lang w:val="en-US" w:eastAsia="zh-CN"/>
        </w:rPr>
        <w:t>2</w:t>
      </w:r>
      <w:r>
        <w:rPr>
          <w:rFonts w:hint="eastAsia" w:ascii="宋体" w:hAnsi="宋体" w:cs="宋体"/>
          <w:b/>
          <w:color w:val="0D0D0D"/>
          <w:kern w:val="0"/>
          <w:sz w:val="32"/>
          <w:szCs w:val="32"/>
        </w:rPr>
        <w:t>日</w:t>
      </w:r>
    </w:p>
    <w:p>
      <w:pPr>
        <w:widowControl/>
        <w:rPr>
          <w:rFonts w:ascii="宋体" w:hAnsi="宋体"/>
        </w:rPr>
      </w:pPr>
      <w:r>
        <w:rPr>
          <w:rFonts w:ascii="宋体" w:hAnsi="宋体"/>
        </w:rPr>
        <w:br w:type="page"/>
      </w:r>
      <w:bookmarkStart w:id="1" w:name="_Toc415233241"/>
      <w:bookmarkStart w:id="2" w:name="_Toc438651106"/>
      <w:r>
        <w:rPr>
          <w:rFonts w:hint="eastAsia" w:ascii="宋体" w:hAnsi="宋体"/>
        </w:rPr>
        <w:t xml:space="preserve"> </w:t>
      </w:r>
    </w:p>
    <w:p>
      <w:pPr>
        <w:widowControl/>
        <w:jc w:val="center"/>
        <w:rPr>
          <w:rFonts w:ascii="宋体" w:hAnsi="宋体"/>
          <w:sz w:val="44"/>
          <w:szCs w:val="44"/>
        </w:rPr>
      </w:pPr>
      <w:r>
        <w:rPr>
          <w:rFonts w:hint="eastAsia" w:ascii="宋体" w:hAnsi="宋体"/>
        </w:rPr>
        <w:t xml:space="preserve">   </w:t>
      </w: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jc w:val="center"/>
        <w:rPr>
          <w:rFonts w:ascii="宋体" w:hAnsi="宋体"/>
          <w:b/>
          <w:color w:val="000000"/>
          <w:sz w:val="44"/>
          <w:szCs w:val="44"/>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第一章  竞争性磋商采购邀请</w:t>
      </w:r>
    </w:p>
    <w:p>
      <w:pPr>
        <w:tabs>
          <w:tab w:val="left" w:pos="7740"/>
        </w:tabs>
        <w:spacing w:line="600" w:lineRule="exact"/>
        <w:rPr>
          <w:rFonts w:ascii="宋体" w:hAnsi="宋体"/>
          <w:bCs/>
          <w:sz w:val="28"/>
          <w:szCs w:val="28"/>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第二章  磋商须知</w:t>
      </w:r>
    </w:p>
    <w:p>
      <w:pPr>
        <w:tabs>
          <w:tab w:val="left" w:pos="7740"/>
        </w:tabs>
        <w:spacing w:line="600" w:lineRule="exact"/>
        <w:rPr>
          <w:rFonts w:ascii="宋体" w:hAnsi="宋体"/>
          <w:bCs/>
          <w:sz w:val="28"/>
          <w:szCs w:val="28"/>
        </w:rPr>
      </w:pPr>
    </w:p>
    <w:p>
      <w:pPr>
        <w:numPr>
          <w:ilvl w:val="0"/>
          <w:numId w:val="1"/>
        </w:numPr>
        <w:tabs>
          <w:tab w:val="left" w:pos="7740"/>
        </w:tabs>
        <w:spacing w:line="600" w:lineRule="exact"/>
        <w:ind w:firstLine="560" w:firstLineChars="200"/>
        <w:rPr>
          <w:rFonts w:ascii="宋体" w:hAnsi="宋体"/>
          <w:bCs/>
          <w:sz w:val="28"/>
          <w:szCs w:val="28"/>
        </w:rPr>
      </w:pPr>
      <w:r>
        <w:rPr>
          <w:rFonts w:hint="eastAsia" w:ascii="宋体" w:hAnsi="宋体"/>
          <w:bCs/>
          <w:sz w:val="28"/>
          <w:szCs w:val="28"/>
        </w:rPr>
        <w:t xml:space="preserve"> 采购内容及技术参数要求</w:t>
      </w:r>
    </w:p>
    <w:p>
      <w:pPr>
        <w:pStyle w:val="2"/>
        <w:ind w:firstLine="0" w:firstLineChars="0"/>
      </w:pPr>
    </w:p>
    <w:p>
      <w:pPr>
        <w:pStyle w:val="2"/>
        <w:ind w:firstLine="0" w:firstLineChars="0"/>
      </w:pPr>
      <w:r>
        <w:rPr>
          <w:rFonts w:hint="eastAsia" w:ascii="微软雅黑" w:hAnsi="微软雅黑" w:eastAsia="微软雅黑" w:cs="微软雅黑"/>
          <w:color w:val="393939"/>
          <w:sz w:val="19"/>
          <w:szCs w:val="19"/>
          <w:shd w:val="clear" w:color="auto" w:fill="FFFFFF"/>
          <w:lang w:bidi="ar"/>
        </w:rPr>
        <w:t xml:space="preserve">     </w:t>
      </w:r>
      <w:r>
        <w:rPr>
          <w:rFonts w:ascii="宋体" w:hAnsi="宋体" w:eastAsia="宋体"/>
          <w:bCs/>
          <w:kern w:val="2"/>
          <w:szCs w:val="28"/>
        </w:rPr>
        <w:t xml:space="preserve"> </w:t>
      </w:r>
      <w:r>
        <w:rPr>
          <w:rFonts w:hint="eastAsia" w:ascii="宋体" w:hAnsi="宋体" w:eastAsia="宋体"/>
          <w:bCs/>
          <w:kern w:val="2"/>
          <w:szCs w:val="28"/>
        </w:rPr>
        <w:t>第四章  磋商方法及标准</w:t>
      </w:r>
    </w:p>
    <w:p>
      <w:pPr>
        <w:tabs>
          <w:tab w:val="left" w:pos="7740"/>
        </w:tabs>
        <w:spacing w:line="600" w:lineRule="exact"/>
        <w:rPr>
          <w:rFonts w:ascii="宋体" w:hAnsi="宋体"/>
          <w:bCs/>
          <w:sz w:val="28"/>
          <w:szCs w:val="28"/>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第五章  磋商响应文件格式</w:t>
      </w:r>
    </w:p>
    <w:p>
      <w:pPr>
        <w:tabs>
          <w:tab w:val="left" w:pos="7740"/>
        </w:tabs>
        <w:spacing w:line="600" w:lineRule="exact"/>
        <w:rPr>
          <w:rFonts w:ascii="宋体" w:hAnsi="宋体"/>
          <w:lang w:val="zh-CN"/>
        </w:rPr>
      </w:pPr>
    </w:p>
    <w:p>
      <w:pPr>
        <w:tabs>
          <w:tab w:val="left" w:pos="7740"/>
        </w:tabs>
        <w:spacing w:line="600" w:lineRule="exact"/>
        <w:ind w:firstLine="2100" w:firstLineChars="1000"/>
        <w:rPr>
          <w:rFonts w:ascii="宋体" w:hAnsi="宋体" w:cs="Arial"/>
          <w:b/>
          <w:bCs/>
          <w:sz w:val="36"/>
          <w:szCs w:val="36"/>
        </w:rPr>
      </w:pPr>
      <w:r>
        <w:rPr>
          <w:rFonts w:ascii="宋体" w:hAnsi="宋体"/>
          <w:lang w:val="zh-CN"/>
        </w:rPr>
        <w:br w:type="page"/>
      </w:r>
      <w:bookmarkEnd w:id="1"/>
      <w:bookmarkEnd w:id="2"/>
      <w:r>
        <w:rPr>
          <w:rFonts w:hint="eastAsia" w:ascii="宋体" w:hAnsi="宋体" w:cs="Arial"/>
          <w:b/>
          <w:bCs/>
          <w:szCs w:val="44"/>
        </w:rPr>
        <w:t xml:space="preserve"> </w:t>
      </w:r>
      <w:bookmarkStart w:id="3" w:name="OLE_LINK2"/>
      <w:r>
        <w:rPr>
          <w:rFonts w:hint="eastAsia" w:ascii="宋体" w:hAnsi="宋体" w:cs="Arial"/>
          <w:b/>
          <w:bCs/>
          <w:szCs w:val="44"/>
        </w:rPr>
        <w:t xml:space="preserve"> </w:t>
      </w:r>
      <w:bookmarkStart w:id="4" w:name="OLE_LINK5"/>
      <w:bookmarkStart w:id="5" w:name="OLE_LINK4"/>
      <w:r>
        <w:rPr>
          <w:rFonts w:hint="eastAsia" w:ascii="宋体" w:hAnsi="宋体" w:cs="Arial"/>
          <w:b/>
          <w:bCs/>
          <w:sz w:val="36"/>
          <w:szCs w:val="36"/>
        </w:rPr>
        <w:t xml:space="preserve"> </w:t>
      </w:r>
      <w:r>
        <w:rPr>
          <w:rFonts w:hint="eastAsia" w:ascii="宋体" w:hAnsi="宋体" w:cs="Arial"/>
          <w:b/>
          <w:bCs/>
          <w:sz w:val="32"/>
          <w:szCs w:val="32"/>
        </w:rPr>
        <w:t xml:space="preserve">第一章 </w:t>
      </w:r>
      <w:bookmarkStart w:id="6" w:name="OLE_LINK7"/>
      <w:bookmarkStart w:id="7" w:name="OLE_LINK9"/>
      <w:bookmarkStart w:id="8" w:name="OLE_LINK1"/>
      <w:bookmarkStart w:id="9" w:name="OLE_LINK6"/>
      <w:r>
        <w:rPr>
          <w:rFonts w:hint="eastAsia" w:ascii="宋体" w:hAnsi="宋体" w:cs="Arial"/>
          <w:b/>
          <w:bCs/>
          <w:sz w:val="32"/>
          <w:szCs w:val="32"/>
        </w:rPr>
        <w:t>竞争性磋商采购公告</w:t>
      </w:r>
    </w:p>
    <w:p>
      <w:pPr>
        <w:spacing w:line="440" w:lineRule="exact"/>
        <w:rPr>
          <w:rFonts w:ascii="宋体" w:hAnsi="宋体"/>
        </w:rPr>
      </w:pPr>
    </w:p>
    <w:p>
      <w:pPr>
        <w:pBdr>
          <w:top w:val="single" w:color="auto" w:sz="4" w:space="1"/>
          <w:left w:val="single" w:color="auto" w:sz="4" w:space="4"/>
          <w:bottom w:val="single" w:color="auto" w:sz="4" w:space="1"/>
          <w:right w:val="single" w:color="auto" w:sz="4" w:space="4"/>
        </w:pBdr>
        <w:spacing w:line="440" w:lineRule="exact"/>
        <w:ind w:firstLine="480" w:firstLineChars="200"/>
        <w:contextualSpacing/>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contextualSpacing/>
        <w:rPr>
          <w:rFonts w:ascii="宋体" w:hAnsi="宋体"/>
          <w:sz w:val="24"/>
          <w:szCs w:val="24"/>
        </w:rPr>
      </w:pPr>
      <w:r>
        <w:rPr>
          <w:rFonts w:hint="eastAsia" w:ascii="宋体" w:hAnsi="宋体"/>
          <w:color w:val="000000"/>
          <w:sz w:val="24"/>
          <w:szCs w:val="24"/>
        </w:rPr>
        <w:t>省交通运输厅视频会议系统设备采购项目</w:t>
      </w:r>
      <w:r>
        <w:rPr>
          <w:rFonts w:hint="eastAsia" w:ascii="宋体" w:hAnsi="宋体"/>
          <w:sz w:val="24"/>
          <w:szCs w:val="24"/>
        </w:rPr>
        <w:t>的潜在供应商应在</w:t>
      </w:r>
      <w:r>
        <w:rPr>
          <w:rFonts w:hint="eastAsia" w:ascii="宋体" w:hAnsi="宋体"/>
          <w:b/>
          <w:sz w:val="24"/>
          <w:szCs w:val="24"/>
          <w:u w:val="single"/>
        </w:rPr>
        <w:t>江苏航运职业技术学院（</w:t>
      </w:r>
      <w:r>
        <w:rPr>
          <w:rFonts w:ascii="宋体" w:hAnsi="宋体"/>
          <w:b/>
          <w:sz w:val="24"/>
          <w:szCs w:val="24"/>
          <w:u w:val="single"/>
        </w:rPr>
        <w:t>http://www.</w:t>
      </w:r>
      <w:r>
        <w:rPr>
          <w:rFonts w:hint="eastAsia" w:ascii="宋体" w:hAnsi="宋体"/>
          <w:b/>
          <w:sz w:val="24"/>
          <w:szCs w:val="24"/>
          <w:u w:val="single"/>
          <w:lang w:val="en-US" w:eastAsia="zh-CN"/>
        </w:rPr>
        <w:t>js</w:t>
      </w:r>
      <w:r>
        <w:rPr>
          <w:rFonts w:ascii="宋体" w:hAnsi="宋体"/>
          <w:b/>
          <w:sz w:val="24"/>
          <w:szCs w:val="24"/>
          <w:u w:val="single"/>
        </w:rPr>
        <w:t>sc.edu.cn/</w:t>
      </w:r>
      <w:r>
        <w:rPr>
          <w:rFonts w:hint="eastAsia" w:ascii="宋体" w:hAnsi="宋体"/>
          <w:b/>
          <w:sz w:val="24"/>
          <w:szCs w:val="24"/>
          <w:u w:val="single"/>
        </w:rPr>
        <w:t>）</w:t>
      </w:r>
      <w:r>
        <w:rPr>
          <w:rFonts w:hint="eastAsia" w:ascii="宋体" w:hAnsi="宋体"/>
          <w:sz w:val="24"/>
          <w:szCs w:val="24"/>
        </w:rPr>
        <w:t>找到该项目，下载磋商文件，并于</w:t>
      </w:r>
      <w:r>
        <w:rPr>
          <w:rFonts w:hint="eastAsia" w:ascii="宋体" w:hAnsi="宋体"/>
          <w:sz w:val="24"/>
          <w:szCs w:val="24"/>
          <w:u w:val="single"/>
        </w:rPr>
        <w:t>2022</w:t>
      </w:r>
      <w:r>
        <w:rPr>
          <w:rFonts w:hint="eastAsia" w:ascii="宋体" w:hAnsi="宋体"/>
          <w:bCs/>
          <w:sz w:val="24"/>
          <w:szCs w:val="24"/>
          <w:u w:val="single"/>
        </w:rPr>
        <w:t>年</w:t>
      </w:r>
      <w:r>
        <w:rPr>
          <w:rFonts w:hint="eastAsia" w:ascii="宋体" w:hAnsi="宋体"/>
          <w:bCs/>
          <w:sz w:val="24"/>
          <w:szCs w:val="24"/>
          <w:u w:val="single"/>
          <w:lang w:val="en-US" w:eastAsia="zh-CN"/>
        </w:rPr>
        <w:t>7</w:t>
      </w:r>
      <w:r>
        <w:rPr>
          <w:rFonts w:hint="eastAsia" w:ascii="宋体" w:hAnsi="宋体"/>
          <w:bCs/>
          <w:sz w:val="24"/>
          <w:szCs w:val="24"/>
          <w:u w:val="single"/>
        </w:rPr>
        <w:t>月</w:t>
      </w:r>
      <w:r>
        <w:rPr>
          <w:rFonts w:hint="eastAsia" w:ascii="宋体" w:hAnsi="宋体"/>
          <w:bCs/>
          <w:sz w:val="24"/>
          <w:szCs w:val="24"/>
          <w:u w:val="single"/>
          <w:lang w:val="en-US" w:eastAsia="zh-CN"/>
        </w:rPr>
        <w:t>17</w:t>
      </w:r>
      <w:r>
        <w:rPr>
          <w:rFonts w:hint="eastAsia" w:ascii="宋体" w:hAnsi="宋体"/>
          <w:bCs/>
          <w:sz w:val="24"/>
          <w:szCs w:val="24"/>
          <w:u w:val="single"/>
        </w:rPr>
        <w:t>日</w:t>
      </w:r>
      <w:r>
        <w:rPr>
          <w:rFonts w:hint="eastAsia" w:ascii="宋体" w:hAnsi="宋体"/>
          <w:bCs/>
          <w:sz w:val="24"/>
          <w:szCs w:val="24"/>
          <w:u w:val="single"/>
          <w:lang w:val="en-US" w:eastAsia="zh-CN"/>
        </w:rPr>
        <w:t>9</w:t>
      </w:r>
      <w:r>
        <w:rPr>
          <w:rFonts w:hint="eastAsia" w:ascii="宋体" w:hAnsi="宋体"/>
          <w:bCs/>
          <w:sz w:val="24"/>
          <w:szCs w:val="24"/>
          <w:u w:val="single"/>
        </w:rPr>
        <w:t>点</w:t>
      </w:r>
      <w:r>
        <w:rPr>
          <w:rFonts w:hint="eastAsia" w:ascii="宋体" w:hAnsi="宋体"/>
          <w:bCs/>
          <w:sz w:val="24"/>
          <w:szCs w:val="24"/>
          <w:u w:val="single"/>
          <w:lang w:val="en-US" w:eastAsia="zh-CN"/>
        </w:rPr>
        <w:t>30</w:t>
      </w:r>
      <w:r>
        <w:rPr>
          <w:rFonts w:hint="eastAsia" w:ascii="宋体" w:hAnsi="宋体"/>
          <w:bCs/>
          <w:sz w:val="24"/>
          <w:szCs w:val="24"/>
          <w:u w:val="single"/>
        </w:rPr>
        <w:t>分</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pPr>
        <w:spacing w:line="460" w:lineRule="exact"/>
        <w:ind w:firstLine="482" w:firstLineChars="200"/>
        <w:rPr>
          <w:rFonts w:ascii="宋体" w:hAnsi="宋体"/>
          <w:b/>
          <w:color w:val="0D0D0D"/>
          <w:kern w:val="0"/>
          <w:sz w:val="24"/>
          <w:szCs w:val="24"/>
        </w:rPr>
      </w:pPr>
      <w:r>
        <w:rPr>
          <w:rFonts w:hint="eastAsia" w:ascii="宋体" w:hAnsi="宋体"/>
          <w:b/>
          <w:color w:val="0D0D0D"/>
          <w:kern w:val="0"/>
          <w:sz w:val="24"/>
          <w:szCs w:val="24"/>
        </w:rPr>
        <w:t>一、项目基本情况：</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1、项目名称：江苏航运职业技术学院对接省交通运输厅视频会议系统相关设备采购项目</w:t>
      </w:r>
    </w:p>
    <w:p>
      <w:pPr>
        <w:spacing w:line="460" w:lineRule="exact"/>
        <w:ind w:firstLine="480" w:firstLineChars="200"/>
        <w:rPr>
          <w:rFonts w:ascii="宋体" w:hAnsi="宋体"/>
          <w:sz w:val="24"/>
          <w:szCs w:val="24"/>
        </w:rPr>
      </w:pPr>
      <w:r>
        <w:rPr>
          <w:rFonts w:hint="eastAsia" w:ascii="宋体" w:hAnsi="宋体"/>
          <w:sz w:val="24"/>
          <w:szCs w:val="24"/>
        </w:rPr>
        <w:t>2、项目编号：</w:t>
      </w:r>
      <w:r>
        <w:rPr>
          <w:rFonts w:hint="eastAsia" w:ascii="宋体" w:hAnsi="宋体"/>
          <w:sz w:val="24"/>
          <w:szCs w:val="24"/>
          <w:lang w:val="en-US" w:eastAsia="zh-CN"/>
        </w:rPr>
        <w:t>HYZB20220702037</w:t>
      </w:r>
    </w:p>
    <w:p>
      <w:pPr>
        <w:spacing w:line="460" w:lineRule="exact"/>
        <w:ind w:firstLine="480" w:firstLineChars="200"/>
        <w:rPr>
          <w:rFonts w:ascii="宋体" w:hAnsi="宋体"/>
          <w:sz w:val="24"/>
          <w:szCs w:val="24"/>
        </w:rPr>
      </w:pPr>
      <w:r>
        <w:rPr>
          <w:rFonts w:hint="eastAsia" w:ascii="宋体" w:hAnsi="宋体"/>
          <w:sz w:val="24"/>
          <w:szCs w:val="24"/>
        </w:rPr>
        <w:t>3、采购方式：竞争性磋商。</w:t>
      </w:r>
    </w:p>
    <w:p>
      <w:pPr>
        <w:spacing w:line="460" w:lineRule="exact"/>
        <w:ind w:firstLine="480" w:firstLineChars="200"/>
        <w:rPr>
          <w:rFonts w:ascii="宋体" w:hAnsi="宋体"/>
          <w:sz w:val="24"/>
          <w:szCs w:val="24"/>
        </w:rPr>
      </w:pPr>
      <w:r>
        <w:rPr>
          <w:rFonts w:hint="eastAsia" w:ascii="宋体" w:hAnsi="宋体"/>
          <w:sz w:val="24"/>
          <w:szCs w:val="24"/>
        </w:rPr>
        <w:t>4、采购预算：本项目采购预算为人民币14.5万元。</w:t>
      </w:r>
    </w:p>
    <w:p>
      <w:pPr>
        <w:spacing w:line="460" w:lineRule="exact"/>
        <w:ind w:firstLine="480" w:firstLineChars="200"/>
        <w:rPr>
          <w:rFonts w:ascii="宋体" w:hAnsi="宋体"/>
          <w:sz w:val="24"/>
          <w:szCs w:val="24"/>
        </w:rPr>
      </w:pPr>
      <w:r>
        <w:rPr>
          <w:rFonts w:hint="eastAsia" w:ascii="宋体" w:hAnsi="宋体"/>
          <w:sz w:val="24"/>
          <w:szCs w:val="24"/>
        </w:rPr>
        <w:t>5、最高限价：本项目最高限价为14.5万元，总价超过最高限价的为无效投标。</w:t>
      </w:r>
    </w:p>
    <w:p>
      <w:pPr>
        <w:spacing w:line="460" w:lineRule="exact"/>
        <w:ind w:firstLine="480" w:firstLineChars="200"/>
        <w:rPr>
          <w:rFonts w:ascii="宋体" w:hAnsi="宋体"/>
          <w:color w:val="000000"/>
          <w:sz w:val="24"/>
          <w:szCs w:val="24"/>
        </w:rPr>
      </w:pPr>
      <w:r>
        <w:rPr>
          <w:rFonts w:hint="eastAsia" w:ascii="宋体" w:hAnsi="宋体"/>
          <w:sz w:val="24"/>
          <w:szCs w:val="24"/>
        </w:rPr>
        <w:t>6、采购需求：</w:t>
      </w:r>
      <w:bookmarkStart w:id="10" w:name="XM_ZBXM：ZBNR_0"/>
      <w:r>
        <w:rPr>
          <w:rFonts w:hint="eastAsia" w:ascii="宋体" w:hAnsi="宋体"/>
          <w:color w:val="000000"/>
          <w:sz w:val="24"/>
          <w:szCs w:val="24"/>
        </w:rPr>
        <w:t>江苏航运职业技术学院对接省交通运输厅视频会议系统相关设备采购项目</w:t>
      </w:r>
      <w:r>
        <w:rPr>
          <w:rFonts w:hint="eastAsia" w:ascii="宋体" w:hAnsi="宋体"/>
          <w:sz w:val="24"/>
          <w:szCs w:val="24"/>
        </w:rPr>
        <w:t>，具体采购内容及技术参数要求等详见</w:t>
      </w:r>
      <w:bookmarkEnd w:id="10"/>
      <w:r>
        <w:rPr>
          <w:rFonts w:hint="eastAsia" w:ascii="宋体" w:hAnsi="宋体" w:cs="宋体"/>
          <w:kern w:val="0"/>
          <w:sz w:val="24"/>
          <w:szCs w:val="24"/>
        </w:rPr>
        <w:t>招标文件技术要求。</w:t>
      </w:r>
    </w:p>
    <w:p>
      <w:pPr>
        <w:widowControl/>
        <w:spacing w:line="460" w:lineRule="exact"/>
        <w:ind w:firstLine="480" w:firstLineChars="200"/>
        <w:jc w:val="left"/>
        <w:textAlignment w:val="baseline"/>
        <w:rPr>
          <w:rFonts w:ascii="宋体" w:hAnsi="宋体"/>
          <w:sz w:val="24"/>
          <w:szCs w:val="24"/>
        </w:rPr>
      </w:pPr>
      <w:r>
        <w:rPr>
          <w:rFonts w:hint="eastAsia" w:ascii="宋体" w:hAnsi="宋体"/>
          <w:sz w:val="24"/>
          <w:szCs w:val="24"/>
        </w:rPr>
        <w:t>7、地点：崇德楼5楼会议室。</w:t>
      </w:r>
    </w:p>
    <w:p>
      <w:pPr>
        <w:widowControl/>
        <w:spacing w:line="460" w:lineRule="exact"/>
        <w:ind w:firstLine="480" w:firstLineChars="200"/>
        <w:jc w:val="left"/>
        <w:textAlignment w:val="baseline"/>
        <w:rPr>
          <w:rFonts w:ascii="宋体" w:hAnsi="宋体"/>
          <w:sz w:val="24"/>
          <w:szCs w:val="24"/>
        </w:rPr>
      </w:pPr>
      <w:r>
        <w:rPr>
          <w:rFonts w:hint="eastAsia" w:ascii="宋体" w:hAnsi="宋体"/>
          <w:sz w:val="24"/>
          <w:szCs w:val="24"/>
        </w:rPr>
        <w:t>8、标段划分：共一个标段。</w:t>
      </w:r>
    </w:p>
    <w:p>
      <w:pPr>
        <w:widowControl/>
        <w:spacing w:line="460" w:lineRule="exact"/>
        <w:ind w:firstLine="480" w:firstLineChars="200"/>
        <w:jc w:val="left"/>
        <w:textAlignment w:val="baseline"/>
        <w:rPr>
          <w:rFonts w:ascii="宋体" w:hAnsi="宋体"/>
          <w:sz w:val="24"/>
          <w:szCs w:val="24"/>
        </w:rPr>
      </w:pPr>
      <w:r>
        <w:rPr>
          <w:rFonts w:hint="eastAsia" w:ascii="宋体" w:hAnsi="宋体"/>
          <w:sz w:val="24"/>
          <w:szCs w:val="24"/>
        </w:rPr>
        <w:t>9、本项目不接受联合体参与。</w:t>
      </w:r>
    </w:p>
    <w:p>
      <w:pPr>
        <w:snapToGrid w:val="0"/>
        <w:spacing w:line="460" w:lineRule="exact"/>
        <w:ind w:firstLine="482" w:firstLineChars="200"/>
        <w:rPr>
          <w:rFonts w:ascii="宋体" w:hAnsi="宋体" w:cs="Arial"/>
          <w:b/>
          <w:bCs/>
          <w:color w:val="000000"/>
          <w:sz w:val="24"/>
          <w:szCs w:val="24"/>
        </w:rPr>
      </w:pPr>
      <w:r>
        <w:rPr>
          <w:rFonts w:hint="eastAsia" w:ascii="宋体" w:hAnsi="宋体"/>
          <w:b/>
          <w:bCs/>
          <w:color w:val="000000"/>
          <w:sz w:val="24"/>
          <w:szCs w:val="24"/>
        </w:rPr>
        <w:t>二、</w:t>
      </w:r>
      <w:r>
        <w:rPr>
          <w:rFonts w:hint="eastAsia" w:ascii="宋体" w:hAnsi="宋体" w:cs="Arial"/>
          <w:b/>
          <w:bCs/>
          <w:color w:val="000000"/>
          <w:sz w:val="24"/>
          <w:szCs w:val="24"/>
        </w:rPr>
        <w:t>磋商供应商资格要求</w:t>
      </w:r>
    </w:p>
    <w:p>
      <w:pPr>
        <w:widowControl/>
        <w:shd w:val="clear" w:color="auto" w:fill="FFFFFF"/>
        <w:spacing w:line="360" w:lineRule="auto"/>
        <w:ind w:firstLine="480" w:firstLineChars="200"/>
        <w:jc w:val="left"/>
        <w:textAlignment w:val="baseline"/>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、满足《中华人民共和国政府采购法》第二十二条规定；</w:t>
      </w:r>
    </w:p>
    <w:p>
      <w:pPr>
        <w:widowControl/>
        <w:shd w:val="clear" w:color="auto" w:fill="FFFFFF"/>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2、</w:t>
      </w:r>
      <w:r>
        <w:rPr>
          <w:rFonts w:ascii="宋体" w:hAnsi="宋体"/>
          <w:sz w:val="24"/>
          <w:szCs w:val="24"/>
        </w:rPr>
        <w:t>具备合法的业务经营资质</w:t>
      </w:r>
      <w:r>
        <w:rPr>
          <w:rFonts w:hint="eastAsia" w:ascii="宋体" w:hAnsi="宋体"/>
          <w:sz w:val="24"/>
          <w:szCs w:val="24"/>
        </w:rPr>
        <w:t>且经营范围须包含本项目内容</w:t>
      </w:r>
      <w:r>
        <w:rPr>
          <w:rFonts w:ascii="宋体" w:hAnsi="宋体"/>
          <w:sz w:val="24"/>
          <w:szCs w:val="24"/>
        </w:rPr>
        <w:t>（</w:t>
      </w:r>
      <w:r>
        <w:rPr>
          <w:rFonts w:hint="eastAsia" w:ascii="宋体" w:hAnsi="宋体"/>
          <w:sz w:val="24"/>
          <w:szCs w:val="24"/>
        </w:rPr>
        <w:t>必须</w:t>
      </w:r>
      <w:r>
        <w:rPr>
          <w:rFonts w:ascii="宋体" w:hAnsi="宋体"/>
          <w:sz w:val="24"/>
          <w:szCs w:val="24"/>
        </w:rPr>
        <w:t>提供</w:t>
      </w:r>
      <w:r>
        <w:rPr>
          <w:rFonts w:hint="eastAsia" w:ascii="宋体" w:hAnsi="宋体"/>
          <w:sz w:val="24"/>
          <w:szCs w:val="24"/>
        </w:rPr>
        <w:t>公司营业执照</w:t>
      </w:r>
      <w:r>
        <w:rPr>
          <w:rFonts w:ascii="宋体" w:hAnsi="宋体"/>
          <w:sz w:val="24"/>
          <w:szCs w:val="24"/>
        </w:rPr>
        <w:t>、</w:t>
      </w:r>
      <w:r>
        <w:rPr>
          <w:rFonts w:hint="eastAsia" w:ascii="宋体" w:hAnsi="宋体"/>
          <w:sz w:val="24"/>
          <w:szCs w:val="24"/>
        </w:rPr>
        <w:t>开户许可证</w:t>
      </w:r>
      <w:r>
        <w:rPr>
          <w:rFonts w:ascii="宋体" w:hAnsi="宋体"/>
          <w:sz w:val="24"/>
          <w:szCs w:val="24"/>
        </w:rPr>
        <w:t>等证明材料）</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cs="宋体"/>
          <w:sz w:val="24"/>
          <w:szCs w:val="24"/>
        </w:rPr>
        <w:t>法定代表人参加项目投标的，须提供法定代表人身份证明书原件；非法定代表人参加的，必须提</w:t>
      </w:r>
      <w:bookmarkStart w:id="11" w:name="XM_ZBXM：TDTJ_0"/>
      <w:r>
        <w:rPr>
          <w:rFonts w:hint="eastAsia" w:ascii="宋体" w:hAnsi="宋体" w:cs="宋体"/>
          <w:sz w:val="24"/>
          <w:szCs w:val="24"/>
        </w:rPr>
        <w:t>供法定代表人签名或盖章的授权委托书原件及被授权代表身份证复印件；</w:t>
      </w:r>
    </w:p>
    <w:bookmarkEnd w:id="11"/>
    <w:p>
      <w:pPr>
        <w:spacing w:line="440" w:lineRule="exact"/>
        <w:ind w:firstLine="482" w:firstLineChars="200"/>
        <w:contextualSpacing/>
        <w:rPr>
          <w:rFonts w:ascii="宋体" w:hAnsi="宋体" w:cs="Arial"/>
          <w:b/>
          <w:sz w:val="24"/>
          <w:szCs w:val="24"/>
        </w:rPr>
      </w:pPr>
      <w:r>
        <w:rPr>
          <w:rFonts w:ascii="宋体" w:hAnsi="宋体" w:cs="Arial"/>
          <w:b/>
          <w:sz w:val="24"/>
          <w:szCs w:val="24"/>
        </w:rPr>
        <w:t>（</w:t>
      </w:r>
      <w:r>
        <w:rPr>
          <w:rFonts w:hint="eastAsia" w:ascii="宋体" w:hAnsi="宋体" w:cs="Arial"/>
          <w:b/>
          <w:sz w:val="24"/>
          <w:szCs w:val="24"/>
        </w:rPr>
        <w:t>二</w:t>
      </w:r>
      <w:r>
        <w:rPr>
          <w:rFonts w:ascii="宋体" w:hAnsi="宋体" w:cs="Arial"/>
          <w:b/>
          <w:sz w:val="24"/>
          <w:szCs w:val="24"/>
        </w:rPr>
        <w:t>）</w:t>
      </w:r>
      <w:r>
        <w:rPr>
          <w:rFonts w:hint="eastAsia" w:ascii="宋体" w:hAnsi="宋体" w:cs="Arial"/>
          <w:b/>
          <w:sz w:val="24"/>
          <w:szCs w:val="24"/>
        </w:rPr>
        <w:t>本项目其他资格要求</w:t>
      </w:r>
      <w:r>
        <w:rPr>
          <w:rFonts w:ascii="宋体" w:hAnsi="宋体" w:cs="Arial"/>
          <w:b/>
          <w:sz w:val="24"/>
          <w:szCs w:val="24"/>
        </w:rPr>
        <w:t>：</w:t>
      </w:r>
    </w:p>
    <w:p>
      <w:pPr>
        <w:widowControl/>
        <w:shd w:val="clear" w:color="auto" w:fill="FFFFFF"/>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1、磋商供应商需提供承诺书(承诺一切与投标有关的费用及责任由供应商承担，供货时提供的所有产品与服务，不存在任何的知识产权与版权的法律纠纷，可合法使用)（格式自拟）；</w:t>
      </w:r>
    </w:p>
    <w:p>
      <w:pPr>
        <w:widowControl/>
        <w:shd w:val="clear" w:color="auto" w:fill="FFFFFF"/>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2、磋商响应函、无重大违法记录的书面声明（按磋商文件第七章后附格式）；</w:t>
      </w:r>
    </w:p>
    <w:p>
      <w:pPr>
        <w:widowControl/>
        <w:shd w:val="clear" w:color="auto" w:fill="FFFFFF"/>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以上未尽之处详见第五章资格审查表。</w:t>
      </w:r>
    </w:p>
    <w:p>
      <w:pPr>
        <w:spacing w:line="440" w:lineRule="exact"/>
        <w:ind w:firstLine="482" w:firstLineChars="200"/>
        <w:contextualSpacing/>
        <w:jc w:val="left"/>
        <w:outlineLvl w:val="1"/>
        <w:rPr>
          <w:rFonts w:ascii="宋体" w:hAnsi="宋体" w:cs="宋体"/>
          <w:b/>
          <w:sz w:val="24"/>
          <w:szCs w:val="24"/>
        </w:rPr>
      </w:pPr>
      <w:bookmarkStart w:id="12" w:name="_Toc16705"/>
      <w:r>
        <w:rPr>
          <w:rFonts w:hint="eastAsia" w:ascii="宋体" w:hAnsi="宋体" w:cs="宋体"/>
          <w:b/>
          <w:sz w:val="24"/>
          <w:szCs w:val="24"/>
        </w:rPr>
        <w:t>三、</w:t>
      </w:r>
      <w:bookmarkEnd w:id="12"/>
      <w:r>
        <w:rPr>
          <w:rFonts w:hint="eastAsia" w:ascii="宋体" w:hAnsi="宋体" w:cs="宋体"/>
          <w:b/>
          <w:sz w:val="24"/>
          <w:szCs w:val="24"/>
        </w:rPr>
        <w:t>获取采购文件</w:t>
      </w:r>
    </w:p>
    <w:p>
      <w:pPr>
        <w:widowControl/>
        <w:shd w:val="clear" w:color="auto" w:fill="FFFFFF"/>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采购文件获取的地点、方式等:</w:t>
      </w:r>
    </w:p>
    <w:p>
      <w:pPr>
        <w:widowControl/>
        <w:shd w:val="clear" w:color="auto" w:fill="FFFFFF"/>
        <w:spacing w:line="440" w:lineRule="exact"/>
        <w:ind w:firstLine="480" w:firstLineChars="200"/>
        <w:contextualSpacing/>
        <w:jc w:val="left"/>
        <w:rPr>
          <w:rFonts w:ascii="宋体" w:hAnsi="宋体" w:cs="宋体"/>
          <w:bCs/>
          <w:sz w:val="24"/>
          <w:szCs w:val="24"/>
        </w:rPr>
      </w:pPr>
      <w:r>
        <w:rPr>
          <w:rFonts w:hint="eastAsia" w:ascii="宋体" w:hAnsi="宋体" w:cs="宋体"/>
          <w:sz w:val="24"/>
          <w:szCs w:val="24"/>
        </w:rPr>
        <w:t>江苏航运职业技术学院（http://www.</w:t>
      </w:r>
      <w:r>
        <w:rPr>
          <w:rFonts w:hint="eastAsia" w:ascii="宋体" w:hAnsi="宋体" w:cs="宋体"/>
          <w:sz w:val="24"/>
          <w:szCs w:val="24"/>
          <w:lang w:val="en-US" w:eastAsia="zh-CN"/>
        </w:rPr>
        <w:t>js</w:t>
      </w:r>
      <w:r>
        <w:rPr>
          <w:rFonts w:hint="eastAsia" w:ascii="宋体" w:hAnsi="宋体" w:cs="宋体"/>
          <w:sz w:val="24"/>
          <w:szCs w:val="24"/>
        </w:rPr>
        <w:t>sc.edu.cn/）</w:t>
      </w:r>
      <w:r>
        <w:rPr>
          <w:rFonts w:hint="eastAsia" w:ascii="宋体" w:hAnsi="宋体" w:cs="宋体"/>
          <w:bCs/>
          <w:sz w:val="24"/>
          <w:szCs w:val="24"/>
        </w:rPr>
        <w:t>获取。</w:t>
      </w:r>
    </w:p>
    <w:p>
      <w:pPr>
        <w:spacing w:line="440" w:lineRule="exact"/>
        <w:ind w:firstLine="482" w:firstLineChars="200"/>
        <w:contextualSpacing/>
        <w:jc w:val="left"/>
        <w:outlineLvl w:val="1"/>
        <w:rPr>
          <w:rFonts w:ascii="宋体" w:hAnsi="宋体" w:cs="宋体"/>
          <w:b/>
          <w:sz w:val="24"/>
          <w:szCs w:val="24"/>
        </w:rPr>
      </w:pPr>
      <w:bookmarkStart w:id="13" w:name="_Toc28359082"/>
      <w:bookmarkStart w:id="14" w:name="_Toc35393624"/>
      <w:bookmarkStart w:id="15" w:name="_Toc28359005"/>
      <w:bookmarkStart w:id="16" w:name="_Toc35393793"/>
      <w:r>
        <w:rPr>
          <w:rFonts w:hint="eastAsia" w:ascii="宋体" w:hAnsi="宋体" w:cs="宋体"/>
          <w:b/>
          <w:sz w:val="24"/>
          <w:szCs w:val="24"/>
        </w:rPr>
        <w:t>四、</w:t>
      </w:r>
      <w:bookmarkEnd w:id="13"/>
      <w:bookmarkEnd w:id="14"/>
      <w:bookmarkEnd w:id="15"/>
      <w:bookmarkEnd w:id="16"/>
      <w:r>
        <w:rPr>
          <w:rFonts w:hint="eastAsia" w:ascii="宋体" w:hAnsi="宋体" w:cs="宋体"/>
          <w:b/>
          <w:sz w:val="24"/>
          <w:szCs w:val="24"/>
        </w:rPr>
        <w:t>响应文件提交</w:t>
      </w:r>
    </w:p>
    <w:p>
      <w:pPr>
        <w:spacing w:line="440" w:lineRule="exact"/>
        <w:ind w:firstLine="480" w:firstLineChars="200"/>
        <w:contextualSpacing/>
        <w:outlineLvl w:val="1"/>
        <w:rPr>
          <w:rFonts w:ascii="宋体" w:hAnsi="宋体" w:cs="宋体"/>
          <w:sz w:val="24"/>
          <w:szCs w:val="24"/>
        </w:rPr>
      </w:pPr>
      <w:r>
        <w:rPr>
          <w:rFonts w:hint="eastAsia" w:ascii="宋体" w:hAnsi="宋体" w:cs="宋体"/>
          <w:kern w:val="0"/>
          <w:sz w:val="24"/>
          <w:szCs w:val="24"/>
        </w:rPr>
        <w:t>响应文件递交的截止时间为2022年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17</w:t>
      </w:r>
      <w:r>
        <w:rPr>
          <w:rFonts w:hint="eastAsia" w:ascii="宋体" w:hAnsi="宋体" w:cs="宋体"/>
          <w:kern w:val="0"/>
          <w:sz w:val="24"/>
          <w:szCs w:val="24"/>
        </w:rPr>
        <w:t>日</w:t>
      </w:r>
      <w:r>
        <w:rPr>
          <w:rFonts w:hint="eastAsia" w:ascii="宋体" w:hAnsi="宋体" w:cs="宋体"/>
          <w:kern w:val="0"/>
          <w:sz w:val="24"/>
          <w:szCs w:val="24"/>
          <w:lang w:val="en-US" w:eastAsia="zh-CN"/>
        </w:rPr>
        <w:t>9</w:t>
      </w:r>
      <w:r>
        <w:rPr>
          <w:rFonts w:hint="eastAsia" w:ascii="宋体" w:hAnsi="宋体" w:cs="宋体"/>
          <w:kern w:val="0"/>
          <w:sz w:val="24"/>
          <w:szCs w:val="24"/>
        </w:rPr>
        <w:t>时</w:t>
      </w:r>
      <w:r>
        <w:rPr>
          <w:rFonts w:hint="eastAsia" w:ascii="宋体" w:hAnsi="宋体" w:cs="宋体"/>
          <w:kern w:val="0"/>
          <w:sz w:val="24"/>
          <w:szCs w:val="24"/>
          <w:lang w:val="en-US" w:eastAsia="zh-CN"/>
        </w:rPr>
        <w:t>3</w:t>
      </w:r>
      <w:r>
        <w:rPr>
          <w:rFonts w:hint="eastAsia" w:ascii="宋体" w:hAnsi="宋体" w:cs="宋体"/>
          <w:kern w:val="0"/>
          <w:sz w:val="24"/>
          <w:szCs w:val="24"/>
        </w:rPr>
        <w:t>0分,逾期递交的谈判响应文件恕不接受。</w:t>
      </w:r>
    </w:p>
    <w:p>
      <w:pPr>
        <w:widowControl/>
        <w:shd w:val="clear" w:color="auto" w:fill="FFFFFF"/>
        <w:spacing w:line="440" w:lineRule="exact"/>
        <w:ind w:firstLine="480" w:firstLineChars="200"/>
        <w:jc w:val="left"/>
        <w:rPr>
          <w:rFonts w:ascii="宋体" w:hAnsi="宋体" w:cs="宋体"/>
          <w:bCs/>
          <w:sz w:val="24"/>
          <w:szCs w:val="24"/>
        </w:rPr>
      </w:pPr>
      <w:r>
        <w:rPr>
          <w:rFonts w:hint="eastAsia" w:ascii="宋体" w:hAnsi="宋体" w:cs="宋体"/>
          <w:sz w:val="24"/>
          <w:szCs w:val="24"/>
        </w:rPr>
        <w:t>提交地点：江苏航运职业技术学院西大门北侧校外创业园1楼评标室，如有变动另行通知。</w:t>
      </w:r>
    </w:p>
    <w:p>
      <w:pPr>
        <w:keepNext/>
        <w:keepLines/>
        <w:spacing w:line="440" w:lineRule="exact"/>
        <w:ind w:firstLine="482" w:firstLineChars="200"/>
        <w:outlineLvl w:val="1"/>
        <w:rPr>
          <w:rFonts w:ascii="宋体" w:hAnsi="宋体" w:cs="宋体"/>
          <w:b/>
          <w:sz w:val="24"/>
          <w:szCs w:val="24"/>
        </w:rPr>
      </w:pPr>
      <w:bookmarkStart w:id="17" w:name="_Toc35393802"/>
      <w:bookmarkStart w:id="18" w:name="_Toc28359093"/>
      <w:bookmarkStart w:id="19" w:name="_Toc35393633"/>
      <w:bookmarkStart w:id="20" w:name="_Toc28359016"/>
      <w:r>
        <w:rPr>
          <w:rFonts w:hint="eastAsia" w:ascii="宋体" w:hAnsi="宋体" w:cs="宋体"/>
          <w:b/>
          <w:sz w:val="24"/>
          <w:szCs w:val="24"/>
        </w:rPr>
        <w:t>五、开</w:t>
      </w:r>
      <w:bookmarkEnd w:id="17"/>
      <w:bookmarkEnd w:id="18"/>
      <w:bookmarkEnd w:id="19"/>
      <w:bookmarkEnd w:id="20"/>
      <w:r>
        <w:rPr>
          <w:rFonts w:hint="eastAsia" w:ascii="宋体" w:hAnsi="宋体" w:cs="宋体"/>
          <w:b/>
          <w:sz w:val="24"/>
          <w:szCs w:val="24"/>
        </w:rPr>
        <w:t>标时间及地点</w:t>
      </w:r>
    </w:p>
    <w:p>
      <w:pPr>
        <w:widowControl/>
        <w:shd w:val="clear" w:color="auto" w:fill="FFFFFF"/>
        <w:spacing w:line="440" w:lineRule="exact"/>
        <w:ind w:firstLine="480" w:firstLineChars="200"/>
        <w:jc w:val="left"/>
        <w:rPr>
          <w:rFonts w:ascii="宋体" w:hAnsi="宋体" w:cs="宋体"/>
          <w:sz w:val="24"/>
          <w:szCs w:val="24"/>
        </w:rPr>
      </w:pPr>
      <w:r>
        <w:rPr>
          <w:rFonts w:hint="eastAsia" w:ascii="宋体" w:hAnsi="宋体" w:cs="宋体"/>
          <w:sz w:val="24"/>
          <w:szCs w:val="24"/>
          <w:lang w:val="en-US" w:eastAsia="zh-CN"/>
        </w:rPr>
        <w:t>另行通知</w:t>
      </w:r>
      <w:r>
        <w:rPr>
          <w:rFonts w:ascii="宋体" w:hAnsi="宋体" w:cs="宋体"/>
          <w:sz w:val="24"/>
          <w:szCs w:val="24"/>
        </w:rPr>
        <w:t xml:space="preserve"> </w:t>
      </w:r>
    </w:p>
    <w:p>
      <w:pPr>
        <w:keepNext/>
        <w:keepLines/>
        <w:spacing w:line="440" w:lineRule="exact"/>
        <w:ind w:firstLine="482" w:firstLineChars="200"/>
        <w:outlineLvl w:val="1"/>
        <w:rPr>
          <w:rFonts w:ascii="宋体" w:hAnsi="宋体" w:cs="宋体"/>
          <w:b/>
          <w:sz w:val="24"/>
          <w:szCs w:val="24"/>
        </w:rPr>
      </w:pPr>
      <w:r>
        <w:rPr>
          <w:rFonts w:hint="eastAsia" w:ascii="宋体" w:hAnsi="宋体" w:cs="宋体"/>
          <w:b/>
          <w:sz w:val="24"/>
          <w:szCs w:val="24"/>
        </w:rPr>
        <w:t>六、公告期限</w:t>
      </w:r>
    </w:p>
    <w:p>
      <w:pPr>
        <w:widowControl/>
        <w:shd w:val="clear" w:color="auto" w:fill="FFFFFF"/>
        <w:spacing w:line="440" w:lineRule="exact"/>
        <w:ind w:firstLine="480" w:firstLineChars="200"/>
        <w:jc w:val="left"/>
        <w:rPr>
          <w:rFonts w:ascii="宋体" w:hAnsi="宋体" w:cs="宋体"/>
          <w:sz w:val="24"/>
          <w:szCs w:val="24"/>
        </w:rPr>
      </w:pPr>
      <w:r>
        <w:rPr>
          <w:rFonts w:hint="eastAsia" w:ascii="宋体" w:hAnsi="宋体" w:cs="宋体"/>
          <w:sz w:val="24"/>
          <w:szCs w:val="24"/>
        </w:rPr>
        <w:t>自本公告发布之日起10日。</w:t>
      </w:r>
    </w:p>
    <w:p>
      <w:pPr>
        <w:spacing w:line="440" w:lineRule="exact"/>
        <w:ind w:firstLine="482" w:firstLineChars="200"/>
        <w:contextualSpacing/>
        <w:rPr>
          <w:rFonts w:ascii="宋体" w:hAnsi="宋体" w:cs="宋体"/>
          <w:b/>
          <w:color w:val="0D0D0D"/>
          <w:sz w:val="24"/>
          <w:szCs w:val="24"/>
        </w:rPr>
      </w:pPr>
      <w:r>
        <w:rPr>
          <w:rFonts w:hint="eastAsia" w:ascii="宋体" w:hAnsi="宋体" w:cs="宋体"/>
          <w:b/>
          <w:color w:val="0D0D0D"/>
          <w:sz w:val="24"/>
          <w:szCs w:val="24"/>
        </w:rPr>
        <w:t>七、磋商保证金</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1、本项目投标单位需</w:t>
      </w:r>
      <w:r>
        <w:rPr>
          <w:rFonts w:ascii="宋体" w:hAnsi="宋体" w:cs="宋体"/>
          <w:sz w:val="24"/>
          <w:szCs w:val="24"/>
        </w:rPr>
        <w:t>缴纳</w:t>
      </w:r>
      <w:r>
        <w:rPr>
          <w:rFonts w:hint="eastAsia" w:ascii="宋体" w:hAnsi="宋体" w:cs="宋体"/>
          <w:sz w:val="24"/>
          <w:szCs w:val="24"/>
        </w:rPr>
        <w:t>磋商保证金人民币2</w:t>
      </w:r>
      <w:r>
        <w:rPr>
          <w:rFonts w:ascii="宋体" w:hAnsi="宋体" w:cs="宋体"/>
          <w:sz w:val="24"/>
          <w:szCs w:val="24"/>
        </w:rPr>
        <w:t>900元</w:t>
      </w:r>
      <w:r>
        <w:rPr>
          <w:rFonts w:hint="eastAsia" w:ascii="宋体" w:hAnsi="宋体" w:cs="宋体"/>
          <w:sz w:val="24"/>
          <w:szCs w:val="24"/>
        </w:rPr>
        <w:t>，</w:t>
      </w:r>
      <w:r>
        <w:rPr>
          <w:rFonts w:ascii="宋体" w:hAnsi="宋体" w:cs="宋体"/>
          <w:sz w:val="24"/>
          <w:szCs w:val="24"/>
        </w:rPr>
        <w:t>至少应在投标截止时间前</w:t>
      </w:r>
      <w:r>
        <w:rPr>
          <w:rFonts w:hint="eastAsia" w:ascii="宋体" w:hAnsi="宋体" w:cs="宋体"/>
          <w:sz w:val="24"/>
          <w:szCs w:val="24"/>
        </w:rPr>
        <w:t>一</w:t>
      </w:r>
      <w:r>
        <w:rPr>
          <w:rFonts w:ascii="宋体" w:hAnsi="宋体" w:cs="宋体"/>
          <w:sz w:val="24"/>
          <w:szCs w:val="24"/>
        </w:rPr>
        <w:t>日汇款至指定账户（户名：江苏航运职业技术学院，开户行：中国建设银行南通经济技术开发区支行，账号：32001642336052515609</w:t>
      </w:r>
      <w:r>
        <w:rPr>
          <w:rFonts w:hint="eastAsia" w:ascii="宋体" w:hAnsi="宋体" w:cs="宋体"/>
          <w:sz w:val="24"/>
          <w:szCs w:val="24"/>
        </w:rPr>
        <w:t>-</w:t>
      </w:r>
      <w:r>
        <w:rPr>
          <w:rFonts w:ascii="宋体" w:hAnsi="宋体" w:cs="宋体"/>
          <w:sz w:val="24"/>
          <w:szCs w:val="24"/>
        </w:rPr>
        <w:t>0004，统一社会信用代码：123200004660042577，银行转账时备注中注明“</w:t>
      </w:r>
      <w:r>
        <w:rPr>
          <w:rFonts w:hint="eastAsia" w:ascii="宋体" w:hAnsi="宋体" w:cs="宋体"/>
          <w:sz w:val="24"/>
          <w:szCs w:val="24"/>
        </w:rPr>
        <w:t>江苏航运职业技术学院对接省交通运输厅视频会议系统相关设备采购项目</w:t>
      </w:r>
      <w:r>
        <w:rPr>
          <w:rFonts w:ascii="宋体" w:hAnsi="宋体" w:cs="宋体"/>
          <w:sz w:val="24"/>
          <w:szCs w:val="24"/>
        </w:rPr>
        <w:t>”</w:t>
      </w:r>
      <w:r>
        <w:rPr>
          <w:rFonts w:hint="eastAsia" w:ascii="宋体" w:hAnsi="宋体" w:cs="宋体"/>
          <w:sz w:val="24"/>
          <w:szCs w:val="24"/>
        </w:rPr>
        <w:t xml:space="preserve"> 磋商</w:t>
      </w:r>
      <w:r>
        <w:rPr>
          <w:rFonts w:ascii="宋体" w:hAnsi="宋体" w:cs="宋体"/>
          <w:sz w:val="24"/>
          <w:szCs w:val="24"/>
        </w:rPr>
        <w:t>保证金，现场带银行转帐回单备查，否则投标无效。</w:t>
      </w:r>
      <w:r>
        <w:rPr>
          <w:rFonts w:hint="eastAsia" w:ascii="宋体" w:hAnsi="宋体" w:cs="宋体"/>
          <w:sz w:val="24"/>
          <w:szCs w:val="24"/>
        </w:rPr>
        <w:t>待</w:t>
      </w:r>
      <w:r>
        <w:rPr>
          <w:rFonts w:ascii="宋体" w:hAnsi="宋体" w:cs="宋体"/>
          <w:sz w:val="24"/>
          <w:szCs w:val="24"/>
        </w:rPr>
        <w:t>中标公示通知发出之日起五个工作日内退还未中标单位的</w:t>
      </w:r>
      <w:r>
        <w:rPr>
          <w:rFonts w:hint="eastAsia" w:ascii="宋体" w:hAnsi="宋体" w:cs="宋体"/>
          <w:sz w:val="24"/>
          <w:szCs w:val="24"/>
        </w:rPr>
        <w:t>磋商</w:t>
      </w:r>
      <w:r>
        <w:rPr>
          <w:rFonts w:ascii="宋体" w:hAnsi="宋体" w:cs="宋体"/>
          <w:sz w:val="24"/>
          <w:szCs w:val="24"/>
        </w:rPr>
        <w:t>保证金</w:t>
      </w:r>
      <w:r>
        <w:rPr>
          <w:rFonts w:hint="eastAsia" w:ascii="宋体" w:hAnsi="宋体" w:cs="宋体"/>
          <w:sz w:val="24"/>
          <w:szCs w:val="24"/>
        </w:rPr>
        <w:t>。</w:t>
      </w:r>
    </w:p>
    <w:p>
      <w:pPr>
        <w:snapToGrid w:val="0"/>
        <w:spacing w:line="460" w:lineRule="exact"/>
        <w:ind w:firstLine="482" w:firstLineChars="200"/>
        <w:contextualSpacing/>
        <w:rPr>
          <w:rFonts w:ascii="宋体" w:hAnsi="宋体" w:cs="宋体"/>
          <w:b/>
          <w:sz w:val="24"/>
          <w:szCs w:val="24"/>
        </w:rPr>
      </w:pPr>
      <w:r>
        <w:rPr>
          <w:rFonts w:hint="eastAsia" w:ascii="宋体" w:hAnsi="宋体" w:cs="宋体"/>
          <w:b/>
          <w:color w:val="0D0D0D"/>
          <w:sz w:val="24"/>
          <w:szCs w:val="24"/>
        </w:rPr>
        <w:t>八、响应文件制作份数要求：</w:t>
      </w:r>
      <w:r>
        <w:rPr>
          <w:rFonts w:hint="eastAsia" w:ascii="宋体" w:hAnsi="宋体" w:cs="宋体"/>
          <w:b/>
          <w:sz w:val="24"/>
          <w:szCs w:val="24"/>
        </w:rPr>
        <w:t>正本一份，副本四份。</w:t>
      </w:r>
    </w:p>
    <w:p>
      <w:pPr>
        <w:snapToGrid w:val="0"/>
        <w:spacing w:line="460" w:lineRule="exact"/>
        <w:ind w:firstLine="482" w:firstLineChars="200"/>
        <w:contextualSpacing/>
        <w:rPr>
          <w:rFonts w:ascii="宋体" w:hAnsi="宋体" w:cs="宋体"/>
          <w:b/>
          <w:color w:val="0D0D0D"/>
          <w:sz w:val="24"/>
          <w:szCs w:val="24"/>
        </w:rPr>
      </w:pPr>
      <w:r>
        <w:rPr>
          <w:rFonts w:hint="eastAsia" w:ascii="宋体" w:hAnsi="宋体" w:cs="宋体"/>
          <w:b/>
          <w:color w:val="0D0D0D"/>
          <w:sz w:val="24"/>
          <w:szCs w:val="24"/>
        </w:rPr>
        <w:t>九、竞争性磋商程序（详见竞争性磋商文件）</w:t>
      </w:r>
    </w:p>
    <w:p>
      <w:pPr>
        <w:snapToGrid w:val="0"/>
        <w:spacing w:line="460" w:lineRule="exact"/>
        <w:ind w:left="105" w:leftChars="50" w:firstLine="480" w:firstLineChars="200"/>
        <w:contextualSpacing/>
        <w:rPr>
          <w:rFonts w:ascii="宋体" w:hAnsi="宋体" w:cs="宋体"/>
          <w:sz w:val="24"/>
          <w:szCs w:val="24"/>
        </w:rPr>
      </w:pPr>
      <w:r>
        <w:rPr>
          <w:rFonts w:hint="eastAsia" w:ascii="宋体" w:hAnsi="宋体" w:cs="宋体"/>
          <w:color w:val="0D0D0D"/>
          <w:sz w:val="24"/>
          <w:szCs w:val="24"/>
        </w:rPr>
        <w:t>磋商小组审查响应</w:t>
      </w:r>
      <w:r>
        <w:rPr>
          <w:rFonts w:hint="eastAsia" w:ascii="宋体" w:hAnsi="宋体" w:cs="宋体"/>
          <w:sz w:val="24"/>
          <w:szCs w:val="24"/>
        </w:rPr>
        <w:t>供应商资格，符合资格的供应商接受磋商小组的各轮磋商。在质量和服务相等的前提下，最后综合评分第一的为成交供应商。</w:t>
      </w:r>
    </w:p>
    <w:p>
      <w:pPr>
        <w:widowControl/>
        <w:spacing w:line="460" w:lineRule="exact"/>
        <w:ind w:firstLine="482" w:firstLineChars="200"/>
        <w:jc w:val="left"/>
        <w:rPr>
          <w:rFonts w:ascii="宋体" w:hAnsi="宋体" w:cs="宋体"/>
          <w:bCs/>
          <w:kern w:val="0"/>
          <w:sz w:val="24"/>
          <w:szCs w:val="24"/>
        </w:rPr>
      </w:pPr>
      <w:r>
        <w:rPr>
          <w:rFonts w:hint="eastAsia" w:ascii="宋体" w:hAnsi="宋体" w:cs="宋体"/>
          <w:b/>
          <w:kern w:val="0"/>
          <w:sz w:val="24"/>
          <w:szCs w:val="24"/>
        </w:rPr>
        <w:t>十、对本次招标提出询问，请按以下方式联系：</w:t>
      </w:r>
    </w:p>
    <w:p>
      <w:pPr>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名 称：江苏航运职业技术学院</w:t>
      </w:r>
    </w:p>
    <w:p>
      <w:pPr>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 址：南通市开发区通盛大道185号</w:t>
      </w:r>
    </w:p>
    <w:p>
      <w:pPr>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联系人： 黄老师0513-85960860（资产管理中心）</w:t>
      </w:r>
    </w:p>
    <w:p>
      <w:pPr>
        <w:pStyle w:val="2"/>
        <w:ind w:firstLine="280"/>
        <w:rPr>
          <w:rFonts w:ascii="宋体" w:hAnsi="宋体" w:eastAsia="宋体"/>
          <w:sz w:val="24"/>
          <w:szCs w:val="24"/>
        </w:rPr>
      </w:pPr>
      <w:r>
        <w:rPr>
          <w:rFonts w:hint="eastAsia"/>
        </w:rPr>
        <w:t xml:space="preserve">         </w:t>
      </w:r>
      <w:r>
        <w:rPr>
          <w:rFonts w:hint="eastAsia" w:ascii="宋体" w:hAnsi="宋体" w:eastAsia="宋体"/>
          <w:sz w:val="24"/>
          <w:szCs w:val="24"/>
        </w:rPr>
        <w:t>王老师0513-85960811（教育信息化中心）</w:t>
      </w:r>
    </w:p>
    <w:p>
      <w:pPr>
        <w:snapToGrid w:val="0"/>
        <w:spacing w:line="440" w:lineRule="exact"/>
        <w:jc w:val="right"/>
        <w:rPr>
          <w:rFonts w:ascii="宋体" w:hAnsi="宋体" w:cs="宋体"/>
          <w:sz w:val="24"/>
          <w:szCs w:val="24"/>
        </w:rPr>
      </w:pPr>
      <w:r>
        <w:rPr>
          <w:rFonts w:hint="eastAsia" w:ascii="宋体" w:hAnsi="宋体" w:cs="宋体"/>
          <w:sz w:val="24"/>
          <w:szCs w:val="24"/>
        </w:rPr>
        <w:t>采购人：江苏航运职业技术学院</w:t>
      </w:r>
    </w:p>
    <w:p>
      <w:pPr>
        <w:wordWrap w:val="0"/>
        <w:snapToGrid w:val="0"/>
        <w:spacing w:line="440" w:lineRule="exact"/>
        <w:ind w:right="315"/>
        <w:jc w:val="right"/>
        <w:rPr>
          <w:rFonts w:ascii="宋体" w:hAnsi="宋体"/>
          <w:b/>
          <w:sz w:val="36"/>
          <w:szCs w:val="36"/>
        </w:rPr>
      </w:pPr>
      <w:r>
        <w:rPr>
          <w:rFonts w:hint="eastAsia" w:ascii="宋体" w:hAnsi="宋体" w:cs="宋体"/>
          <w:bCs/>
          <w:sz w:val="24"/>
          <w:szCs w:val="24"/>
        </w:rPr>
        <w:t>2022年</w:t>
      </w:r>
      <w:r>
        <w:rPr>
          <w:rFonts w:hint="eastAsia" w:ascii="宋体" w:hAnsi="宋体" w:cs="宋体"/>
          <w:bCs/>
          <w:sz w:val="24"/>
          <w:szCs w:val="24"/>
          <w:lang w:val="en-US" w:eastAsia="zh-CN"/>
        </w:rPr>
        <w:t>7</w:t>
      </w:r>
      <w:r>
        <w:rPr>
          <w:rFonts w:hint="eastAsia" w:ascii="宋体" w:hAnsi="宋体" w:cs="宋体"/>
          <w:bCs/>
          <w:sz w:val="24"/>
          <w:szCs w:val="24"/>
        </w:rPr>
        <w:t>月</w:t>
      </w:r>
      <w:r>
        <w:rPr>
          <w:rFonts w:ascii="宋体" w:hAnsi="宋体" w:cs="宋体"/>
          <w:bCs/>
          <w:sz w:val="24"/>
          <w:szCs w:val="24"/>
        </w:rPr>
        <w:t>2</w:t>
      </w:r>
      <w:r>
        <w:rPr>
          <w:rFonts w:hint="eastAsia" w:ascii="宋体" w:hAnsi="宋体" w:cs="宋体"/>
          <w:bCs/>
          <w:sz w:val="24"/>
          <w:szCs w:val="24"/>
        </w:rPr>
        <w:t>日</w:t>
      </w:r>
      <w:bookmarkEnd w:id="3"/>
      <w:bookmarkEnd w:id="4"/>
      <w:bookmarkEnd w:id="5"/>
      <w:bookmarkEnd w:id="6"/>
      <w:bookmarkEnd w:id="7"/>
      <w:bookmarkEnd w:id="8"/>
      <w:bookmarkEnd w:id="9"/>
      <w:bookmarkStart w:id="21" w:name="_Toc482127427"/>
    </w:p>
    <w:p>
      <w:pPr>
        <w:spacing w:line="460" w:lineRule="exact"/>
        <w:jc w:val="center"/>
        <w:rPr>
          <w:rFonts w:ascii="宋体" w:hAnsi="宋体"/>
          <w:b/>
          <w:sz w:val="32"/>
          <w:szCs w:val="32"/>
        </w:rPr>
      </w:pPr>
      <w:r>
        <w:rPr>
          <w:rFonts w:hint="eastAsia" w:ascii="宋体" w:hAnsi="宋体"/>
          <w:b/>
          <w:sz w:val="32"/>
          <w:szCs w:val="32"/>
        </w:rPr>
        <w:br w:type="page"/>
      </w:r>
      <w:r>
        <w:rPr>
          <w:rFonts w:hint="eastAsia" w:ascii="宋体" w:hAnsi="宋体"/>
          <w:b/>
          <w:sz w:val="32"/>
          <w:szCs w:val="32"/>
        </w:rPr>
        <w:t>第二章 磋商须知</w:t>
      </w:r>
      <w:bookmarkEnd w:id="21"/>
    </w:p>
    <w:p>
      <w:pPr>
        <w:spacing w:line="460" w:lineRule="exact"/>
        <w:ind w:firstLine="2310" w:firstLineChars="1100"/>
        <w:rPr>
          <w:rFonts w:ascii="宋体" w:hAnsi="宋体"/>
          <w:szCs w:val="21"/>
        </w:rPr>
      </w:pPr>
      <w:r>
        <w:rPr>
          <w:rFonts w:hint="eastAsia" w:ascii="宋体" w:hAnsi="宋体"/>
          <w:szCs w:val="21"/>
        </w:rPr>
        <w:t>（参加竞争性磋商的供应商以下简称“磋商供应商”）</w:t>
      </w:r>
    </w:p>
    <w:p>
      <w:pPr>
        <w:snapToGrid w:val="0"/>
        <w:spacing w:line="460" w:lineRule="exact"/>
        <w:rPr>
          <w:rFonts w:ascii="宋体" w:hAnsi="宋体" w:cs="宋体"/>
          <w:color w:val="0D0D0D"/>
          <w:sz w:val="24"/>
          <w:szCs w:val="24"/>
        </w:rPr>
      </w:pPr>
      <w:r>
        <w:rPr>
          <w:rFonts w:hint="eastAsia" w:ascii="宋体" w:hAnsi="宋体" w:cs="宋体"/>
          <w:color w:val="0D0D0D"/>
          <w:sz w:val="24"/>
          <w:szCs w:val="24"/>
        </w:rPr>
        <w:t>一、总则</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1、适用范围</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本竞争性磋商文件（以下简称磋商文件）仅适用此项目。</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2、项目采购方式</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本次采购采取竞争性磋商的方式。</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3、合格的磋商供应商</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3.1满足本磋商文件“竞争性磋商采购邀请”中合格磋商供应商资格要求的规定。</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3.2 满足本磋商文件实质性要求和条件的规定。</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4、参加磋商费用</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4.1、磋商响应供应商应承担其编制磋商文件以及递交磋商文件所涉及的一切费用。无论磋商结果如何，采购人对上述费用不负任何责任。</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5、磋商文件的约束力</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供应商一旦下载了本磋商文件并决定参加磋商，即被认为接受了本磋商文件的规定和约束，并且视为自竞争性磋商公告期限届满之日起已经知道或应当知道自身权益是否受到了损害。</w:t>
      </w:r>
    </w:p>
    <w:p>
      <w:pPr>
        <w:snapToGrid w:val="0"/>
        <w:spacing w:line="460" w:lineRule="exact"/>
        <w:rPr>
          <w:rFonts w:ascii="宋体" w:hAnsi="宋体" w:cs="宋体"/>
          <w:b/>
          <w:color w:val="0D0D0D"/>
          <w:sz w:val="24"/>
          <w:szCs w:val="24"/>
        </w:rPr>
      </w:pPr>
      <w:bookmarkStart w:id="22" w:name="_Toc513029213"/>
      <w:bookmarkStart w:id="23" w:name="_Toc462564072"/>
      <w:bookmarkStart w:id="24" w:name="_Toc14577351"/>
      <w:bookmarkStart w:id="25" w:name="_Toc61149553"/>
      <w:r>
        <w:rPr>
          <w:rFonts w:hint="eastAsia" w:ascii="宋体" w:hAnsi="宋体" w:cs="宋体"/>
          <w:b/>
          <w:color w:val="0D0D0D"/>
          <w:sz w:val="24"/>
          <w:szCs w:val="24"/>
        </w:rPr>
        <w:t>二、磋商响应文件的编制</w:t>
      </w:r>
      <w:bookmarkEnd w:id="22"/>
      <w:bookmarkEnd w:id="23"/>
      <w:bookmarkEnd w:id="24"/>
      <w:bookmarkEnd w:id="25"/>
      <w:r>
        <w:rPr>
          <w:rFonts w:hint="eastAsia" w:ascii="宋体" w:hAnsi="宋体" w:cs="宋体"/>
          <w:b/>
          <w:color w:val="0D0D0D"/>
          <w:sz w:val="24"/>
          <w:szCs w:val="24"/>
        </w:rPr>
        <w:t>及保证金收取</w:t>
      </w:r>
    </w:p>
    <w:p>
      <w:pPr>
        <w:snapToGrid w:val="0"/>
        <w:spacing w:line="460" w:lineRule="exact"/>
        <w:ind w:firstLine="480" w:firstLineChars="200"/>
        <w:rPr>
          <w:rFonts w:ascii="宋体" w:hAnsi="宋体" w:cs="宋体"/>
          <w:color w:val="0D0D0D"/>
          <w:sz w:val="24"/>
          <w:szCs w:val="24"/>
        </w:rPr>
      </w:pPr>
      <w:bookmarkStart w:id="26" w:name="_Toc513029223"/>
      <w:bookmarkStart w:id="27" w:name="_Toc61149561"/>
      <w:bookmarkStart w:id="28" w:name="_Toc14577361"/>
      <w:r>
        <w:rPr>
          <w:rFonts w:hint="eastAsia" w:ascii="宋体" w:hAnsi="宋体" w:cs="宋体"/>
          <w:color w:val="0D0D0D"/>
          <w:sz w:val="24"/>
          <w:szCs w:val="24"/>
        </w:rPr>
        <w:t>1、磋商响应文件份数和签署</w:t>
      </w:r>
      <w:bookmarkEnd w:id="26"/>
      <w:bookmarkEnd w:id="27"/>
      <w:bookmarkEnd w:id="28"/>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1.1磋商供应商应严格按照采购要求准备磋商响应文件（以下简称响应文件）。</w:t>
      </w:r>
    </w:p>
    <w:p>
      <w:pPr>
        <w:snapToGrid w:val="0"/>
        <w:spacing w:line="460" w:lineRule="exact"/>
        <w:ind w:firstLine="480" w:firstLineChars="200"/>
        <w:rPr>
          <w:rFonts w:ascii="宋体" w:hAnsi="宋体" w:cs="宋体"/>
          <w:sz w:val="24"/>
          <w:szCs w:val="24"/>
        </w:rPr>
      </w:pPr>
      <w:r>
        <w:rPr>
          <w:rFonts w:hint="eastAsia" w:ascii="宋体" w:hAnsi="宋体" w:cs="宋体"/>
          <w:color w:val="0D0D0D"/>
          <w:sz w:val="24"/>
          <w:szCs w:val="24"/>
        </w:rPr>
        <w:t>磋商文件要求提供原件的必须</w:t>
      </w:r>
      <w:r>
        <w:rPr>
          <w:rFonts w:hint="eastAsia" w:ascii="宋体" w:hAnsi="宋体" w:cs="宋体"/>
          <w:sz w:val="24"/>
          <w:szCs w:val="24"/>
        </w:rPr>
        <w:t>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1.2 除磋商供应商对错处做必要修改外，响应文件不得行间插字、涂改或增删。如有修改错漏处，必须由响应文件签署人签字或盖章。</w:t>
      </w:r>
    </w:p>
    <w:p>
      <w:pPr>
        <w:snapToGrid w:val="0"/>
        <w:spacing w:line="460" w:lineRule="exact"/>
        <w:ind w:firstLine="480" w:firstLineChars="200"/>
        <w:rPr>
          <w:rFonts w:ascii="宋体" w:hAnsi="宋体" w:cs="宋体"/>
          <w:color w:val="0D0D0D"/>
          <w:sz w:val="24"/>
          <w:szCs w:val="24"/>
        </w:rPr>
      </w:pPr>
      <w:bookmarkStart w:id="29" w:name="_Toc513029215"/>
      <w:bookmarkStart w:id="30" w:name="_Toc14577353"/>
      <w:bookmarkStart w:id="31" w:name="_Toc462564074"/>
      <w:bookmarkStart w:id="32" w:name="_Toc61149555"/>
      <w:bookmarkStart w:id="33" w:name="_Toc14577352"/>
      <w:bookmarkStart w:id="34" w:name="_Toc462564073"/>
      <w:bookmarkStart w:id="35" w:name="_Toc513029214"/>
      <w:bookmarkStart w:id="36" w:name="_Toc61149554"/>
      <w:r>
        <w:rPr>
          <w:rFonts w:hint="eastAsia" w:ascii="宋体" w:hAnsi="宋体" w:cs="宋体"/>
          <w:color w:val="0D0D0D"/>
          <w:sz w:val="24"/>
          <w:szCs w:val="24"/>
        </w:rPr>
        <w:t>2、响应文件</w:t>
      </w:r>
      <w:bookmarkEnd w:id="29"/>
      <w:bookmarkEnd w:id="30"/>
      <w:bookmarkEnd w:id="31"/>
      <w:bookmarkEnd w:id="32"/>
      <w:r>
        <w:rPr>
          <w:rFonts w:hint="eastAsia" w:ascii="宋体" w:hAnsi="宋体" w:cs="宋体"/>
          <w:color w:val="0D0D0D"/>
          <w:sz w:val="24"/>
          <w:szCs w:val="24"/>
        </w:rPr>
        <w:t>编制要求</w:t>
      </w:r>
    </w:p>
    <w:bookmarkEnd w:id="33"/>
    <w:bookmarkEnd w:id="34"/>
    <w:bookmarkEnd w:id="35"/>
    <w:bookmarkEnd w:id="36"/>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2.1磋商供应商提交的响应文件以及磋商供应商与代理机构及采购人就有关磋商的所有来往函电均应使用简体中文。磋商文件中既有中文也有外文的，以中文意义为准。</w:t>
      </w:r>
    </w:p>
    <w:p>
      <w:pPr>
        <w:snapToGrid w:val="0"/>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2.2 除技术性能另有规定外，响应文件所使用的度量衡单位，均须采用国家法定计量单位。</w:t>
      </w:r>
    </w:p>
    <w:p>
      <w:pPr>
        <w:snapToGrid w:val="0"/>
        <w:spacing w:line="460" w:lineRule="exact"/>
        <w:ind w:firstLine="480" w:firstLineChars="200"/>
        <w:rPr>
          <w:rFonts w:ascii="宋体" w:hAnsi="宋体" w:cs="宋体"/>
          <w:color w:val="0D0D0D"/>
          <w:sz w:val="24"/>
          <w:szCs w:val="24"/>
        </w:rPr>
      </w:pPr>
      <w:bookmarkStart w:id="37" w:name="_Toc513029217"/>
      <w:bookmarkStart w:id="38" w:name="_Toc513029219"/>
      <w:bookmarkStart w:id="39" w:name="_Toc14577357"/>
      <w:bookmarkStart w:id="40" w:name="_Toc14577355"/>
      <w:bookmarkStart w:id="41" w:name="_Toc61149557"/>
      <w:bookmarkStart w:id="42" w:name="_Toc61149558"/>
      <w:r>
        <w:rPr>
          <w:rFonts w:hint="eastAsia" w:ascii="宋体" w:hAnsi="宋体" w:cs="宋体"/>
          <w:color w:val="0D0D0D"/>
          <w:sz w:val="24"/>
          <w:szCs w:val="24"/>
        </w:rPr>
        <w:t xml:space="preserve">3、磋商响应文件的内容： </w:t>
      </w:r>
    </w:p>
    <w:p>
      <w:pPr>
        <w:tabs>
          <w:tab w:val="left" w:pos="720"/>
        </w:tabs>
        <w:spacing w:line="460" w:lineRule="exact"/>
        <w:ind w:firstLine="482" w:firstLineChars="200"/>
        <w:outlineLvl w:val="2"/>
        <w:rPr>
          <w:rFonts w:ascii="宋体" w:hAnsi="宋体" w:cs="宋体"/>
          <w:b/>
          <w:sz w:val="24"/>
          <w:szCs w:val="24"/>
        </w:rPr>
      </w:pPr>
      <w:r>
        <w:rPr>
          <w:rFonts w:hint="eastAsia" w:ascii="宋体" w:hAnsi="宋体" w:cs="宋体"/>
          <w:b/>
          <w:sz w:val="24"/>
          <w:szCs w:val="24"/>
        </w:rPr>
        <w:t>A、资格后审资料文件（须加盖公章）；</w:t>
      </w:r>
    </w:p>
    <w:p>
      <w:pPr>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（1）法定代表人参加投标的，必须提供法人身份证明及法人身份证原件；非法定代表人参加的，必须提供法定代表人签名或盖章的授权委托书及被委托授权人身份证及授权委托人的正式员工证明材料；</w:t>
      </w:r>
    </w:p>
    <w:p>
      <w:pPr>
        <w:widowControl/>
        <w:shd w:val="clear" w:color="auto" w:fill="FFFFFF"/>
        <w:spacing w:line="360" w:lineRule="auto"/>
        <w:ind w:firstLine="480" w:firstLineChars="200"/>
        <w:jc w:val="left"/>
        <w:textAlignment w:val="baseline"/>
        <w:rPr>
          <w:rFonts w:ascii="宋体" w:hAnsi="宋体"/>
          <w:sz w:val="24"/>
          <w:szCs w:val="24"/>
        </w:rPr>
      </w:pPr>
      <w:r>
        <w:rPr>
          <w:rFonts w:hint="eastAsia" w:ascii="宋体" w:hAnsi="宋体" w:cs="宋体"/>
          <w:bCs/>
          <w:sz w:val="24"/>
          <w:szCs w:val="24"/>
        </w:rPr>
        <w:t>（2）</w:t>
      </w:r>
      <w:r>
        <w:rPr>
          <w:rFonts w:ascii="宋体" w:hAnsi="宋体"/>
          <w:sz w:val="24"/>
          <w:szCs w:val="24"/>
        </w:rPr>
        <w:t>具备合法的业务经营资质</w:t>
      </w:r>
      <w:r>
        <w:rPr>
          <w:rFonts w:hint="eastAsia" w:ascii="宋体" w:hAnsi="宋体"/>
          <w:sz w:val="24"/>
          <w:szCs w:val="24"/>
        </w:rPr>
        <w:t>且经营范围须包含本招标范围内容</w:t>
      </w:r>
      <w:r>
        <w:rPr>
          <w:rFonts w:ascii="宋体" w:hAnsi="宋体"/>
          <w:sz w:val="24"/>
          <w:szCs w:val="24"/>
        </w:rPr>
        <w:t>（</w:t>
      </w:r>
      <w:r>
        <w:rPr>
          <w:rFonts w:hint="eastAsia" w:ascii="宋体" w:hAnsi="宋体"/>
          <w:sz w:val="24"/>
          <w:szCs w:val="24"/>
        </w:rPr>
        <w:t>必须</w:t>
      </w:r>
      <w:r>
        <w:rPr>
          <w:rFonts w:ascii="宋体" w:hAnsi="宋体"/>
          <w:sz w:val="24"/>
          <w:szCs w:val="24"/>
        </w:rPr>
        <w:t>提供</w:t>
      </w:r>
      <w:r>
        <w:rPr>
          <w:rFonts w:hint="eastAsia" w:ascii="宋体" w:hAnsi="宋体"/>
          <w:sz w:val="24"/>
          <w:szCs w:val="24"/>
        </w:rPr>
        <w:t>公司营业执照</w:t>
      </w:r>
      <w:r>
        <w:rPr>
          <w:rFonts w:ascii="宋体" w:hAnsi="宋体"/>
          <w:sz w:val="24"/>
          <w:szCs w:val="24"/>
        </w:rPr>
        <w:t>、</w:t>
      </w:r>
      <w:r>
        <w:rPr>
          <w:rFonts w:hint="eastAsia" w:ascii="宋体" w:hAnsi="宋体"/>
          <w:sz w:val="24"/>
          <w:szCs w:val="24"/>
        </w:rPr>
        <w:t>开户许可证</w:t>
      </w:r>
      <w:r>
        <w:rPr>
          <w:rFonts w:ascii="宋体" w:hAnsi="宋体"/>
          <w:sz w:val="24"/>
          <w:szCs w:val="24"/>
        </w:rPr>
        <w:t>等证明材料）</w:t>
      </w:r>
      <w:r>
        <w:rPr>
          <w:rFonts w:hint="eastAsia" w:ascii="宋体" w:hAnsi="宋体"/>
          <w:sz w:val="24"/>
          <w:szCs w:val="24"/>
        </w:rPr>
        <w:t>；</w:t>
      </w:r>
    </w:p>
    <w:p>
      <w:pPr>
        <w:pStyle w:val="2"/>
        <w:ind w:firstLine="480" w:firstLineChars="200"/>
        <w:rPr>
          <w:rFonts w:eastAsia="宋体"/>
        </w:rPr>
      </w:pPr>
      <w:r>
        <w:rPr>
          <w:rFonts w:hint="eastAsia" w:ascii="宋体" w:hAnsi="宋体" w:eastAsia="宋体"/>
          <w:sz w:val="24"/>
          <w:szCs w:val="24"/>
        </w:rPr>
        <w:t xml:space="preserve">（3）有依法缴纳税收和社会保障资金的良好记录（提供社保缴纳记录和依法缴纳税收证明）          </w:t>
      </w:r>
    </w:p>
    <w:p>
      <w:pPr>
        <w:pStyle w:val="3"/>
        <w:spacing w:line="440" w:lineRule="exact"/>
        <w:ind w:firstLine="426"/>
        <w:rPr>
          <w:rFonts w:ascii="宋体" w:hAnsi="宋体" w:eastAsia="宋体" w:cs="宋体"/>
          <w:kern w:val="2"/>
          <w:sz w:val="24"/>
          <w:szCs w:val="24"/>
        </w:rPr>
      </w:pPr>
      <w:r>
        <w:rPr>
          <w:rFonts w:hint="eastAsia" w:ascii="宋体" w:hAnsi="宋体" w:eastAsia="宋体" w:cs="宋体"/>
          <w:kern w:val="2"/>
          <w:sz w:val="24"/>
          <w:szCs w:val="24"/>
        </w:rPr>
        <w:t>（4）供应商需提供承诺书(承诺一切与投标有关的费用及责任由供应商承担，供货时提供的所有产品与服务，不存在任何的知识产权与版权的法律纠纷，可合法使用)（格式自拟）；</w:t>
      </w:r>
    </w:p>
    <w:p>
      <w:pPr>
        <w:spacing w:line="360" w:lineRule="auto"/>
        <w:ind w:firstLine="426"/>
        <w:contextualSpacing/>
        <w:rPr>
          <w:rFonts w:ascii="宋体" w:hAnsi="宋体" w:cs="宋体"/>
          <w:sz w:val="24"/>
          <w:szCs w:val="24"/>
        </w:rPr>
      </w:pPr>
      <w:r>
        <w:rPr>
          <w:rFonts w:hint="eastAsia" w:ascii="宋体" w:hAnsi="宋体" w:cs="宋体"/>
          <w:sz w:val="24"/>
          <w:szCs w:val="24"/>
        </w:rPr>
        <w:t>（5）须提供参加政府采购活动前三年内，在经营活动中没有重大违法记录的（格式按第七章）；</w:t>
      </w:r>
    </w:p>
    <w:p>
      <w:pPr>
        <w:pStyle w:val="3"/>
        <w:ind w:firstLine="426"/>
        <w:rPr>
          <w:rFonts w:ascii="宋体" w:hAnsi="宋体" w:eastAsia="宋体" w:cs="宋体"/>
          <w:bCs/>
          <w:kern w:val="2"/>
          <w:sz w:val="24"/>
          <w:szCs w:val="24"/>
        </w:rPr>
      </w:pPr>
      <w:r>
        <w:rPr>
          <w:rFonts w:hint="eastAsia" w:ascii="宋体" w:hAnsi="宋体" w:eastAsia="宋体" w:cs="宋体"/>
          <w:bCs/>
          <w:kern w:val="2"/>
          <w:sz w:val="24"/>
          <w:szCs w:val="24"/>
        </w:rPr>
        <w:t>（6）磋商响应函；</w:t>
      </w:r>
    </w:p>
    <w:p>
      <w:pPr>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（7）其他材料。</w:t>
      </w:r>
    </w:p>
    <w:p>
      <w:pPr>
        <w:tabs>
          <w:tab w:val="left" w:pos="720"/>
        </w:tabs>
        <w:spacing w:line="460" w:lineRule="exact"/>
        <w:ind w:firstLine="482" w:firstLineChars="200"/>
        <w:outlineLvl w:val="2"/>
        <w:rPr>
          <w:rFonts w:ascii="宋体" w:hAnsi="宋体" w:cs="宋体"/>
          <w:b/>
          <w:color w:val="0D0D0D"/>
          <w:sz w:val="24"/>
          <w:szCs w:val="24"/>
        </w:rPr>
      </w:pPr>
      <w:r>
        <w:rPr>
          <w:rFonts w:hint="eastAsia" w:ascii="宋体" w:hAnsi="宋体" w:cs="宋体"/>
          <w:b/>
          <w:color w:val="0D0D0D"/>
          <w:sz w:val="24"/>
          <w:szCs w:val="24"/>
        </w:rPr>
        <w:t>B、技术磋商响应文件（须加盖公章）；</w:t>
      </w:r>
    </w:p>
    <w:p>
      <w:pPr>
        <w:tabs>
          <w:tab w:val="left" w:pos="720"/>
        </w:tabs>
        <w:spacing w:line="500" w:lineRule="exact"/>
        <w:ind w:firstLine="840" w:firstLineChars="350"/>
        <w:outlineLvl w:val="2"/>
        <w:rPr>
          <w:rFonts w:ascii="宋体" w:hAnsi="宋体" w:cs="宋体"/>
          <w:b/>
          <w:bCs/>
          <w:color w:val="0D0D0D"/>
          <w:sz w:val="24"/>
          <w:szCs w:val="24"/>
        </w:rPr>
      </w:pPr>
      <w:r>
        <w:rPr>
          <w:rFonts w:hint="eastAsia" w:ascii="宋体" w:hAnsi="宋体" w:cs="宋体"/>
          <w:bCs/>
          <w:color w:val="0D0D0D"/>
          <w:sz w:val="24"/>
          <w:szCs w:val="24"/>
        </w:rPr>
        <w:t>详见评标办法</w:t>
      </w:r>
      <w:r>
        <w:rPr>
          <w:rFonts w:hint="eastAsia" w:ascii="宋体" w:hAnsi="宋体" w:cs="宋体"/>
          <w:color w:val="0D0D0D"/>
          <w:sz w:val="24"/>
          <w:szCs w:val="24"/>
        </w:rPr>
        <w:t>。</w:t>
      </w:r>
    </w:p>
    <w:p>
      <w:pPr>
        <w:tabs>
          <w:tab w:val="left" w:pos="720"/>
        </w:tabs>
        <w:spacing w:line="460" w:lineRule="exact"/>
        <w:ind w:firstLine="480" w:firstLineChars="200"/>
        <w:outlineLvl w:val="2"/>
        <w:rPr>
          <w:rFonts w:ascii="宋体" w:hAnsi="宋体" w:cs="宋体"/>
          <w:b/>
          <w:bCs/>
          <w:sz w:val="24"/>
          <w:szCs w:val="24"/>
        </w:rPr>
      </w:pPr>
      <w:r>
        <w:rPr>
          <w:rFonts w:hint="eastAsia" w:ascii="宋体" w:hAnsi="宋体" w:cs="宋体"/>
          <w:sz w:val="24"/>
          <w:szCs w:val="24"/>
        </w:rPr>
        <w:t>（1）</w:t>
      </w:r>
      <w:r>
        <w:rPr>
          <w:rFonts w:hint="eastAsia" w:ascii="宋体" w:hAnsi="宋体" w:cs="宋体"/>
          <w:bCs/>
          <w:sz w:val="24"/>
          <w:szCs w:val="24"/>
        </w:rPr>
        <w:t>“技术投标文件”中所须提供的材料。具体详见第六章评标方法及标准技术标的相关要求，所有材料须加盖</w:t>
      </w:r>
      <w:r>
        <w:rPr>
          <w:rFonts w:hint="eastAsia" w:ascii="宋体" w:hAnsi="宋体" w:cs="宋体"/>
          <w:sz w:val="24"/>
          <w:szCs w:val="24"/>
        </w:rPr>
        <w:t>投标单位</w:t>
      </w:r>
      <w:r>
        <w:rPr>
          <w:rFonts w:hint="eastAsia" w:ascii="宋体" w:hAnsi="宋体" w:cs="宋体"/>
          <w:bCs/>
          <w:sz w:val="24"/>
          <w:szCs w:val="24"/>
        </w:rPr>
        <w:t>公章。</w:t>
      </w:r>
    </w:p>
    <w:p>
      <w:pPr>
        <w:tabs>
          <w:tab w:val="left" w:pos="720"/>
        </w:tabs>
        <w:spacing w:line="460" w:lineRule="exact"/>
        <w:ind w:firstLine="480" w:firstLineChars="200"/>
        <w:outlineLvl w:val="2"/>
        <w:rPr>
          <w:rFonts w:ascii="宋体" w:hAnsi="宋体" w:cs="宋体"/>
          <w:b/>
          <w:color w:val="0D0D0D"/>
          <w:sz w:val="24"/>
          <w:szCs w:val="24"/>
        </w:rPr>
      </w:pPr>
      <w:r>
        <w:rPr>
          <w:rFonts w:hint="eastAsia" w:ascii="宋体" w:hAnsi="宋体" w:cs="宋体"/>
          <w:bCs/>
          <w:sz w:val="24"/>
          <w:szCs w:val="24"/>
        </w:rPr>
        <w:t>（2）各投标单位请根据技术标评标办法的要求按顺序编制目录和页码范围。</w:t>
      </w:r>
    </w:p>
    <w:p>
      <w:pPr>
        <w:tabs>
          <w:tab w:val="left" w:pos="720"/>
        </w:tabs>
        <w:spacing w:line="460" w:lineRule="exact"/>
        <w:ind w:firstLine="482" w:firstLineChars="200"/>
        <w:outlineLvl w:val="2"/>
        <w:rPr>
          <w:rFonts w:ascii="宋体" w:hAnsi="宋体" w:cs="宋体"/>
          <w:b/>
          <w:color w:val="0D0D0D"/>
          <w:sz w:val="24"/>
          <w:szCs w:val="24"/>
        </w:rPr>
      </w:pPr>
      <w:r>
        <w:rPr>
          <w:rFonts w:hint="eastAsia" w:ascii="宋体" w:hAnsi="宋体" w:cs="宋体"/>
          <w:b/>
          <w:color w:val="0D0D0D"/>
          <w:sz w:val="24"/>
          <w:szCs w:val="24"/>
        </w:rPr>
        <w:t>C、商务包（须加盖公章）；</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（1）磋商响应报价（首次）总表；</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（2）磋商响应最终报价表（空表，第二次现场报价用）；</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4、磋商报价</w:t>
      </w:r>
    </w:p>
    <w:p>
      <w:pPr>
        <w:snapToGrid w:val="0"/>
        <w:spacing w:line="460" w:lineRule="exact"/>
        <w:ind w:firstLine="480" w:firstLineChars="200"/>
        <w:rPr>
          <w:rFonts w:ascii="宋体" w:hAnsi="宋体" w:cs="宋体"/>
          <w:b/>
          <w:sz w:val="24"/>
          <w:szCs w:val="24"/>
        </w:rPr>
      </w:pPr>
      <w:r>
        <w:rPr>
          <w:rFonts w:hint="eastAsia" w:ascii="宋体" w:hAnsi="宋体" w:cs="宋体"/>
          <w:sz w:val="24"/>
          <w:szCs w:val="24"/>
        </w:rPr>
        <w:t>4.1</w:t>
      </w:r>
      <w:r>
        <w:rPr>
          <w:rFonts w:hint="eastAsia" w:ascii="宋体" w:hAnsi="宋体" w:cs="宋体"/>
          <w:b/>
          <w:sz w:val="24"/>
          <w:szCs w:val="24"/>
        </w:rPr>
        <w:t>磋商供应商应按照磋商文件中采购项目服务要求规定的内容、责任范围进行报价。磋商响应报价应包含履行合同所有相关服务所需的全部费用。磋商响应报价中不得缺漏磋商文件所要求的内容，否则，被视为包含在磋商报价中。</w:t>
      </w:r>
    </w:p>
    <w:bookmarkEnd w:id="37"/>
    <w:bookmarkEnd w:id="38"/>
    <w:bookmarkEnd w:id="39"/>
    <w:bookmarkEnd w:id="40"/>
    <w:bookmarkEnd w:id="41"/>
    <w:bookmarkEnd w:id="42"/>
    <w:p>
      <w:pPr>
        <w:snapToGrid w:val="0"/>
        <w:spacing w:line="460" w:lineRule="exact"/>
        <w:ind w:firstLine="480" w:firstLineChars="200"/>
        <w:rPr>
          <w:rFonts w:ascii="宋体" w:hAnsi="宋体" w:cs="宋体"/>
          <w:sz w:val="24"/>
          <w:szCs w:val="24"/>
        </w:rPr>
      </w:pPr>
      <w:r>
        <w:rPr>
          <w:rFonts w:hint="eastAsia" w:ascii="宋体" w:hAnsi="宋体" w:cs="宋体"/>
          <w:sz w:val="24"/>
          <w:szCs w:val="24"/>
        </w:rPr>
        <w:t>4.2标的物：详见项目需求。</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4.3有关费用处理</w:t>
      </w:r>
    </w:p>
    <w:p>
      <w:pPr>
        <w:tabs>
          <w:tab w:val="left" w:pos="720"/>
        </w:tabs>
        <w:spacing w:line="460" w:lineRule="exact"/>
        <w:ind w:firstLine="482" w:firstLineChars="200"/>
        <w:outlineLvl w:val="2"/>
        <w:rPr>
          <w:rFonts w:ascii="宋体" w:hAnsi="宋体" w:cs="宋体"/>
          <w:sz w:val="24"/>
          <w:szCs w:val="24"/>
        </w:rPr>
      </w:pPr>
      <w:r>
        <w:rPr>
          <w:rFonts w:hint="eastAsia" w:ascii="宋体" w:hAnsi="宋体" w:cs="宋体"/>
          <w:b/>
          <w:sz w:val="24"/>
          <w:szCs w:val="24"/>
        </w:rPr>
        <w:t>最后报价应包括本项目的全部费用 (含一切必须的辅助材料费用)及一切相关服务费等。</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4.4报价采用的货币</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响应文件中的单价和总价，无特殊规定的采用人民币报价，以元为单位标注。磋商文件中另有规定的按规定执行。</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4.5 磋商响应报价表上的价格应按磋商文件规定填写。</w:t>
      </w:r>
    </w:p>
    <w:p>
      <w:pPr>
        <w:tabs>
          <w:tab w:val="left" w:pos="720"/>
        </w:tabs>
        <w:spacing w:line="460" w:lineRule="exact"/>
        <w:ind w:firstLine="480" w:firstLineChars="200"/>
        <w:outlineLvl w:val="2"/>
        <w:rPr>
          <w:rFonts w:ascii="宋体" w:hAnsi="宋体" w:cs="宋体"/>
          <w:bCs/>
          <w:color w:val="0D0D0D"/>
          <w:sz w:val="24"/>
          <w:szCs w:val="24"/>
        </w:rPr>
      </w:pPr>
      <w:bookmarkStart w:id="43" w:name="_Toc513029221"/>
      <w:bookmarkStart w:id="44" w:name="_Toc14577359"/>
      <w:bookmarkStart w:id="45" w:name="_Toc61149559"/>
      <w:r>
        <w:rPr>
          <w:rFonts w:hint="eastAsia" w:ascii="宋体" w:hAnsi="宋体" w:cs="宋体"/>
          <w:bCs/>
          <w:color w:val="0D0D0D"/>
          <w:sz w:val="24"/>
          <w:szCs w:val="24"/>
        </w:rPr>
        <w:t>5、项目需求响应方案</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5.1提供为完成本项目的总体实施方案。</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5.2对磋商文件中项目需求的技术与商务条款要求逐项作出应答，并提供依据或说明。</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5.3磋商供应商认为需要的其他技术文件或说明。</w:t>
      </w:r>
      <w:bookmarkEnd w:id="43"/>
      <w:bookmarkEnd w:id="44"/>
      <w:bookmarkEnd w:id="45"/>
    </w:p>
    <w:p>
      <w:pPr>
        <w:tabs>
          <w:tab w:val="left" w:pos="720"/>
        </w:tabs>
        <w:spacing w:line="460" w:lineRule="exact"/>
        <w:ind w:firstLine="482" w:firstLineChars="200"/>
        <w:outlineLvl w:val="2"/>
        <w:rPr>
          <w:rFonts w:ascii="宋体" w:hAnsi="宋体" w:cs="宋体"/>
          <w:b/>
          <w:bCs/>
          <w:color w:val="0D0D0D"/>
          <w:sz w:val="24"/>
          <w:szCs w:val="24"/>
        </w:rPr>
      </w:pPr>
      <w:bookmarkStart w:id="46" w:name="_Toc14577362"/>
      <w:bookmarkStart w:id="47" w:name="_Toc61149562"/>
      <w:bookmarkStart w:id="48" w:name="_Toc513029224"/>
      <w:r>
        <w:rPr>
          <w:rFonts w:hint="eastAsia" w:ascii="宋体" w:hAnsi="宋体" w:cs="宋体"/>
          <w:b/>
          <w:bCs/>
          <w:color w:val="0D0D0D"/>
          <w:sz w:val="24"/>
          <w:szCs w:val="24"/>
        </w:rPr>
        <w:t>三、响应文件的递交</w:t>
      </w:r>
      <w:bookmarkEnd w:id="46"/>
      <w:bookmarkEnd w:id="47"/>
      <w:bookmarkEnd w:id="48"/>
    </w:p>
    <w:p>
      <w:pPr>
        <w:tabs>
          <w:tab w:val="left" w:pos="720"/>
        </w:tabs>
        <w:spacing w:line="460" w:lineRule="exact"/>
        <w:ind w:firstLine="480" w:firstLineChars="200"/>
        <w:outlineLvl w:val="2"/>
        <w:rPr>
          <w:rFonts w:ascii="宋体" w:hAnsi="宋体" w:cs="宋体"/>
          <w:bCs/>
          <w:color w:val="0D0D0D"/>
          <w:sz w:val="24"/>
          <w:szCs w:val="24"/>
        </w:rPr>
      </w:pPr>
      <w:bookmarkStart w:id="49" w:name="_Toc462564084"/>
      <w:bookmarkStart w:id="50" w:name="_Toc61149563"/>
      <w:bookmarkStart w:id="51" w:name="_Toc513029225"/>
      <w:bookmarkStart w:id="52" w:name="_Toc14577363"/>
      <w:r>
        <w:rPr>
          <w:rFonts w:hint="eastAsia" w:ascii="宋体" w:hAnsi="宋体" w:cs="宋体"/>
          <w:bCs/>
          <w:color w:val="0D0D0D"/>
          <w:sz w:val="24"/>
          <w:szCs w:val="24"/>
        </w:rPr>
        <w:t>1、响应文件的密封和标记</w:t>
      </w:r>
      <w:bookmarkEnd w:id="49"/>
      <w:bookmarkEnd w:id="50"/>
      <w:bookmarkEnd w:id="51"/>
      <w:bookmarkEnd w:id="52"/>
    </w:p>
    <w:p>
      <w:pPr>
        <w:spacing w:before="61" w:line="440" w:lineRule="exact"/>
        <w:ind w:left="118" w:right="-27" w:rightChars="-13" w:firstLine="350" w:firstLineChars="146"/>
        <w:contextualSpacing/>
        <w:rPr>
          <w:rFonts w:ascii="宋体" w:hAnsi="宋体" w:cs="宋体"/>
          <w:sz w:val="24"/>
          <w:szCs w:val="24"/>
        </w:rPr>
      </w:pPr>
      <w:r>
        <w:rPr>
          <w:rFonts w:hint="eastAsia" w:ascii="宋体" w:hAnsi="宋体" w:cs="宋体"/>
          <w:sz w:val="24"/>
          <w:szCs w:val="24"/>
        </w:rPr>
        <w:t>1.1投标文件分资格后审资料文件、</w:t>
      </w:r>
      <w:r>
        <w:rPr>
          <w:rFonts w:hint="eastAsia" w:ascii="宋体" w:hAnsi="宋体" w:cs="宋体"/>
          <w:color w:val="0D0D0D"/>
          <w:sz w:val="24"/>
          <w:szCs w:val="24"/>
        </w:rPr>
        <w:t>技术磋商响应文件</w:t>
      </w:r>
      <w:r>
        <w:rPr>
          <w:rFonts w:hint="eastAsia" w:ascii="宋体" w:hAnsi="宋体" w:cs="宋体"/>
          <w:sz w:val="24"/>
          <w:szCs w:val="24"/>
        </w:rPr>
        <w:t>、</w:t>
      </w:r>
      <w:r>
        <w:rPr>
          <w:rFonts w:hint="eastAsia" w:ascii="宋体" w:hAnsi="宋体" w:cs="宋体"/>
          <w:color w:val="0D0D0D"/>
          <w:sz w:val="24"/>
          <w:szCs w:val="24"/>
        </w:rPr>
        <w:t>商务包</w:t>
      </w:r>
      <w:r>
        <w:rPr>
          <w:rFonts w:hint="eastAsia" w:ascii="宋体" w:hAnsi="宋体" w:cs="宋体"/>
          <w:sz w:val="24"/>
          <w:szCs w:val="24"/>
        </w:rPr>
        <w:t>三部分。投标人应准备</w:t>
      </w:r>
      <w:r>
        <w:rPr>
          <w:rFonts w:hint="eastAsia" w:ascii="宋体" w:hAnsi="宋体" w:cs="宋体"/>
          <w:sz w:val="24"/>
          <w:szCs w:val="24"/>
          <w:u w:val="single"/>
        </w:rPr>
        <w:t xml:space="preserve"> 肆 </w:t>
      </w:r>
      <w:r>
        <w:rPr>
          <w:rFonts w:hint="eastAsia" w:ascii="宋体" w:hAnsi="宋体" w:cs="宋体"/>
          <w:sz w:val="24"/>
          <w:szCs w:val="24"/>
        </w:rPr>
        <w:t>份完整的投标文件，其中正本</w:t>
      </w:r>
      <w:r>
        <w:rPr>
          <w:rFonts w:hint="eastAsia" w:ascii="宋体" w:hAnsi="宋体" w:cs="宋体"/>
          <w:sz w:val="24"/>
          <w:szCs w:val="24"/>
          <w:u w:val="single"/>
        </w:rPr>
        <w:t xml:space="preserve"> 壹 </w:t>
      </w:r>
      <w:r>
        <w:rPr>
          <w:rFonts w:hint="eastAsia" w:ascii="宋体" w:hAnsi="宋体" w:cs="宋体"/>
          <w:sz w:val="24"/>
          <w:szCs w:val="24"/>
        </w:rPr>
        <w:t>份，副本</w:t>
      </w:r>
      <w:r>
        <w:rPr>
          <w:rFonts w:hint="eastAsia" w:ascii="宋体" w:hAnsi="宋体" w:cs="宋体"/>
          <w:sz w:val="24"/>
          <w:szCs w:val="24"/>
          <w:u w:val="single"/>
        </w:rPr>
        <w:t xml:space="preserve"> 肆</w:t>
      </w:r>
      <w:r>
        <w:rPr>
          <w:rFonts w:hint="eastAsia" w:ascii="宋体" w:hAnsi="宋体" w:cs="宋体"/>
          <w:sz w:val="24"/>
          <w:szCs w:val="24"/>
        </w:rPr>
        <w:t>份</w:t>
      </w:r>
      <w:bookmarkStart w:id="103" w:name="_GoBack"/>
      <w:bookmarkEnd w:id="103"/>
      <w:r>
        <w:rPr>
          <w:rFonts w:hint="eastAsia" w:ascii="宋体" w:hAnsi="宋体" w:cs="宋体"/>
          <w:sz w:val="24"/>
          <w:szCs w:val="24"/>
        </w:rPr>
        <w:t>，并标明“正本”或“副本”字样。</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1.2投标文件中的资格后审资料文件（A4 幅面）、</w:t>
      </w:r>
      <w:r>
        <w:rPr>
          <w:rFonts w:hint="eastAsia" w:ascii="宋体" w:hAnsi="宋体" w:cs="宋体"/>
          <w:color w:val="0D0D0D"/>
          <w:sz w:val="24"/>
          <w:szCs w:val="24"/>
        </w:rPr>
        <w:t>技术磋商响应文件</w:t>
      </w:r>
      <w:r>
        <w:rPr>
          <w:rFonts w:hint="eastAsia" w:ascii="宋体" w:hAnsi="宋体" w:cs="宋体"/>
          <w:sz w:val="24"/>
          <w:szCs w:val="24"/>
        </w:rPr>
        <w:t>（A4 幅面）、</w:t>
      </w:r>
      <w:r>
        <w:rPr>
          <w:rFonts w:hint="eastAsia" w:ascii="宋体" w:hAnsi="宋体" w:cs="宋体"/>
          <w:color w:val="0D0D0D"/>
          <w:sz w:val="24"/>
          <w:szCs w:val="24"/>
        </w:rPr>
        <w:t>商务包</w:t>
      </w:r>
      <w:r>
        <w:rPr>
          <w:rFonts w:hint="eastAsia" w:ascii="宋体" w:hAnsi="宋体" w:cs="宋体"/>
          <w:sz w:val="24"/>
          <w:szCs w:val="24"/>
        </w:rPr>
        <w:t>（A4 幅面）应分开封装，并各自密封在一个封袋内。所有封袋上（最外面）都应写明“资格后审资料文件”、 “</w:t>
      </w:r>
      <w:r>
        <w:rPr>
          <w:rFonts w:hint="eastAsia" w:ascii="宋体" w:hAnsi="宋体" w:cs="宋体"/>
          <w:color w:val="0D0D0D"/>
          <w:sz w:val="24"/>
          <w:szCs w:val="24"/>
        </w:rPr>
        <w:t>技术磋商响应文件</w:t>
      </w:r>
      <w:r>
        <w:rPr>
          <w:rFonts w:hint="eastAsia" w:ascii="宋体" w:hAnsi="宋体" w:cs="宋体"/>
          <w:sz w:val="24"/>
          <w:szCs w:val="24"/>
        </w:rPr>
        <w:t>”、“</w:t>
      </w:r>
      <w:r>
        <w:rPr>
          <w:rFonts w:hint="eastAsia" w:ascii="宋体" w:hAnsi="宋体" w:cs="宋体"/>
          <w:color w:val="0D0D0D"/>
          <w:sz w:val="24"/>
          <w:szCs w:val="24"/>
        </w:rPr>
        <w:t>商务包</w:t>
      </w:r>
      <w:r>
        <w:rPr>
          <w:rFonts w:hint="eastAsia" w:ascii="宋体" w:hAnsi="宋体" w:cs="宋体"/>
          <w:sz w:val="24"/>
          <w:szCs w:val="24"/>
        </w:rPr>
        <w:t>”，同时写明投标单位名称、项目名称，并在封袋骑缝处加盖投标单位公章。</w:t>
      </w:r>
    </w:p>
    <w:p>
      <w:pPr>
        <w:pStyle w:val="82"/>
        <w:spacing w:line="460" w:lineRule="exact"/>
        <w:ind w:firstLine="480" w:firstLineChars="200"/>
        <w:rPr>
          <w:rFonts w:cs="宋体"/>
          <w:b w:val="0"/>
          <w:bCs/>
          <w:color w:val="0D0D0D"/>
        </w:rPr>
      </w:pPr>
      <w:bookmarkStart w:id="53" w:name="_Toc513029226"/>
      <w:bookmarkStart w:id="54" w:name="_Toc14577364"/>
      <w:bookmarkStart w:id="55" w:name="_Toc61149564"/>
      <w:r>
        <w:rPr>
          <w:rFonts w:hint="eastAsia" w:cs="宋体"/>
          <w:b w:val="0"/>
          <w:bCs/>
          <w:color w:val="0D0D0D"/>
        </w:rPr>
        <w:t>2、响应文件的递交</w:t>
      </w:r>
    </w:p>
    <w:p>
      <w:pPr>
        <w:spacing w:line="460" w:lineRule="exact"/>
        <w:ind w:firstLine="420"/>
        <w:rPr>
          <w:rFonts w:ascii="宋体" w:hAnsi="宋体" w:cs="宋体"/>
          <w:sz w:val="24"/>
          <w:szCs w:val="24"/>
        </w:rPr>
      </w:pPr>
      <w:r>
        <w:rPr>
          <w:rFonts w:hint="eastAsia" w:ascii="宋体" w:hAnsi="宋体" w:cs="宋体"/>
          <w:sz w:val="24"/>
          <w:szCs w:val="24"/>
        </w:rPr>
        <w:t>2.1 磋商响应供应商应在竞争性磋商采购邀请规定的投标截止时间前递交响应文件。</w:t>
      </w:r>
    </w:p>
    <w:p>
      <w:pPr>
        <w:spacing w:line="460" w:lineRule="exact"/>
        <w:ind w:firstLine="420"/>
        <w:rPr>
          <w:rFonts w:ascii="宋体" w:hAnsi="宋体" w:cs="宋体"/>
          <w:sz w:val="24"/>
          <w:szCs w:val="24"/>
        </w:rPr>
      </w:pPr>
      <w:r>
        <w:rPr>
          <w:rFonts w:hint="eastAsia" w:ascii="宋体" w:hAnsi="宋体" w:cs="宋体"/>
          <w:sz w:val="24"/>
          <w:szCs w:val="24"/>
        </w:rPr>
        <w:t>2.2 磋商响应供应商递交响应文件的地点：见竞争性磋商采购邀请。</w:t>
      </w:r>
    </w:p>
    <w:p>
      <w:pPr>
        <w:spacing w:line="460" w:lineRule="exact"/>
        <w:ind w:firstLine="420"/>
        <w:rPr>
          <w:rFonts w:ascii="宋体" w:hAnsi="宋体" w:cs="宋体"/>
          <w:sz w:val="24"/>
          <w:szCs w:val="24"/>
        </w:rPr>
      </w:pPr>
      <w:r>
        <w:rPr>
          <w:rFonts w:hint="eastAsia" w:ascii="宋体" w:hAnsi="宋体" w:cs="宋体"/>
          <w:sz w:val="24"/>
          <w:szCs w:val="24"/>
        </w:rPr>
        <w:t>2.3磋商响应供应商所递交的响应文件不予退还。</w:t>
      </w:r>
    </w:p>
    <w:bookmarkEnd w:id="53"/>
    <w:bookmarkEnd w:id="54"/>
    <w:bookmarkEnd w:id="55"/>
    <w:p>
      <w:pPr>
        <w:tabs>
          <w:tab w:val="left" w:pos="720"/>
        </w:tabs>
        <w:spacing w:line="460" w:lineRule="exact"/>
        <w:ind w:firstLine="480" w:firstLineChars="200"/>
        <w:outlineLvl w:val="2"/>
        <w:rPr>
          <w:rFonts w:ascii="宋体" w:hAnsi="宋体" w:cs="宋体"/>
          <w:bCs/>
          <w:color w:val="0D0D0D"/>
          <w:sz w:val="24"/>
          <w:szCs w:val="24"/>
        </w:rPr>
      </w:pPr>
      <w:bookmarkStart w:id="56" w:name="_Toc61149566"/>
      <w:bookmarkStart w:id="57" w:name="_Toc513029228"/>
      <w:bookmarkStart w:id="58" w:name="_Toc14577366"/>
      <w:r>
        <w:rPr>
          <w:rFonts w:hint="eastAsia" w:ascii="宋体" w:hAnsi="宋体" w:cs="宋体"/>
          <w:bCs/>
          <w:color w:val="0D0D0D"/>
          <w:sz w:val="24"/>
          <w:szCs w:val="24"/>
        </w:rPr>
        <w:t>3、响应文件的修改和撤回</w:t>
      </w:r>
      <w:bookmarkEnd w:id="56"/>
      <w:bookmarkEnd w:id="57"/>
      <w:bookmarkEnd w:id="58"/>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3.1磋商供应商在递交响应文件后，可以修改或撤回</w:t>
      </w:r>
      <w:r>
        <w:rPr>
          <w:rFonts w:hint="eastAsia" w:ascii="宋体" w:hAnsi="宋体" w:cs="宋体"/>
          <w:bCs/>
          <w:sz w:val="24"/>
          <w:szCs w:val="24"/>
        </w:rPr>
        <w:t>其</w:t>
      </w:r>
      <w:r>
        <w:rPr>
          <w:rFonts w:hint="eastAsia" w:ascii="宋体" w:hAnsi="宋体" w:cs="宋体"/>
          <w:sz w:val="24"/>
          <w:szCs w:val="24"/>
        </w:rPr>
        <w:t>磋商</w:t>
      </w:r>
      <w:r>
        <w:rPr>
          <w:rFonts w:hint="eastAsia" w:ascii="宋体" w:hAnsi="宋体" w:cs="宋体"/>
          <w:bCs/>
          <w:sz w:val="24"/>
          <w:szCs w:val="24"/>
        </w:rPr>
        <w:t>响</w:t>
      </w:r>
      <w:r>
        <w:rPr>
          <w:rFonts w:hint="eastAsia" w:ascii="宋体" w:hAnsi="宋体" w:cs="宋体"/>
          <w:bCs/>
          <w:color w:val="0D0D0D"/>
          <w:sz w:val="24"/>
          <w:szCs w:val="24"/>
        </w:rPr>
        <w:t>应文件，但这种修改和撤回，必须在规定的响应文件接收截止时间前，以书面形式送达指定地点。</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3.2磋商供应商的修改或撤回通知书，应按本文件规定进行编制、密封、标记和发送，并应在封套上加注“修改”和“撤回”字样。</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3.3 磋商供应商在提交最后报价之前，可以根据磋商情况退出磋商。</w:t>
      </w:r>
    </w:p>
    <w:p>
      <w:pPr>
        <w:tabs>
          <w:tab w:val="left" w:pos="720"/>
        </w:tabs>
        <w:spacing w:line="460" w:lineRule="exact"/>
        <w:ind w:firstLine="482" w:firstLineChars="200"/>
        <w:outlineLvl w:val="2"/>
        <w:rPr>
          <w:rFonts w:ascii="宋体" w:hAnsi="宋体" w:cs="宋体"/>
          <w:b/>
          <w:bCs/>
          <w:color w:val="0D0D0D"/>
          <w:sz w:val="24"/>
          <w:szCs w:val="24"/>
        </w:rPr>
      </w:pPr>
      <w:r>
        <w:rPr>
          <w:rFonts w:hint="eastAsia" w:ascii="宋体" w:hAnsi="宋体" w:cs="宋体"/>
          <w:b/>
          <w:bCs/>
          <w:color w:val="0D0D0D"/>
          <w:sz w:val="24"/>
          <w:szCs w:val="24"/>
        </w:rPr>
        <w:t>四、磋商与评审</w:t>
      </w:r>
    </w:p>
    <w:p>
      <w:pPr>
        <w:tabs>
          <w:tab w:val="left" w:pos="720"/>
        </w:tabs>
        <w:spacing w:line="460" w:lineRule="exact"/>
        <w:ind w:firstLine="480" w:firstLineChars="200"/>
        <w:outlineLvl w:val="2"/>
        <w:rPr>
          <w:rFonts w:ascii="宋体" w:hAnsi="宋体" w:cs="宋体"/>
          <w:bCs/>
          <w:color w:val="0D0D0D"/>
          <w:sz w:val="24"/>
          <w:szCs w:val="24"/>
        </w:rPr>
      </w:pPr>
      <w:bookmarkStart w:id="59" w:name="_Toc16938546"/>
      <w:bookmarkStart w:id="60" w:name="_Toc20823302"/>
      <w:bookmarkStart w:id="61" w:name="_Toc513029230"/>
      <w:r>
        <w:rPr>
          <w:rFonts w:hint="eastAsia" w:ascii="宋体" w:hAnsi="宋体" w:cs="宋体"/>
          <w:bCs/>
          <w:color w:val="0D0D0D"/>
          <w:sz w:val="24"/>
          <w:szCs w:val="24"/>
        </w:rPr>
        <w:t>1、</w:t>
      </w:r>
      <w:bookmarkEnd w:id="59"/>
      <w:bookmarkEnd w:id="60"/>
      <w:bookmarkEnd w:id="61"/>
      <w:r>
        <w:rPr>
          <w:rFonts w:hint="eastAsia" w:ascii="宋体" w:hAnsi="宋体" w:cs="宋体"/>
          <w:bCs/>
          <w:color w:val="0D0D0D"/>
          <w:sz w:val="24"/>
          <w:szCs w:val="24"/>
        </w:rPr>
        <w:t>磋商仪式</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1.1采购人将在采购邀请中规定的时间和地点组织磋商开始仪式，磋商供应商应委派携带有效证件的代表准时参加，参加仪式的代表需签名以证明其出席。</w:t>
      </w:r>
    </w:p>
    <w:p>
      <w:pPr>
        <w:tabs>
          <w:tab w:val="left" w:pos="720"/>
        </w:tabs>
        <w:spacing w:line="460" w:lineRule="exact"/>
        <w:ind w:firstLine="480" w:firstLineChars="200"/>
        <w:outlineLvl w:val="2"/>
        <w:rPr>
          <w:rFonts w:ascii="宋体" w:hAnsi="宋体" w:cs="宋体"/>
          <w:bCs/>
          <w:color w:val="0D0D0D"/>
          <w:sz w:val="24"/>
          <w:szCs w:val="24"/>
        </w:rPr>
      </w:pPr>
      <w:bookmarkStart w:id="62" w:name="_Toc20823303"/>
      <w:bookmarkStart w:id="63" w:name="_Toc513029231"/>
      <w:bookmarkStart w:id="64" w:name="_Toc16938547"/>
      <w:r>
        <w:rPr>
          <w:rFonts w:hint="eastAsia" w:ascii="宋体" w:hAnsi="宋体" w:cs="宋体"/>
          <w:bCs/>
          <w:color w:val="0D0D0D"/>
          <w:sz w:val="24"/>
          <w:szCs w:val="24"/>
        </w:rPr>
        <w:t>2、磋商小组</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2.1 磋商开始仪式结束后，采购人将立即组织磋商小组进行评审。</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3、磋商评审过程的保密</w:t>
      </w:r>
      <w:bookmarkEnd w:id="62"/>
      <w:bookmarkEnd w:id="63"/>
      <w:bookmarkEnd w:id="64"/>
      <w:r>
        <w:rPr>
          <w:rFonts w:hint="eastAsia" w:ascii="宋体" w:hAnsi="宋体" w:cs="宋体"/>
          <w:bCs/>
          <w:color w:val="0D0D0D"/>
          <w:sz w:val="24"/>
          <w:szCs w:val="24"/>
        </w:rPr>
        <w:t>与公正</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3.1磋商小组、采购人、相关监督人员等与评审工作有关的人员，对评审情况以及在评审过程中获悉的国家秘密、商业秘密负有保密责任。</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3.2在磋商评审过程中，磋商供应商不得以任何行为影响磋商评审过程，否则其响应文件将被作为无效响应文件。</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720"/>
        </w:tabs>
        <w:spacing w:line="460" w:lineRule="exact"/>
        <w:ind w:firstLine="480" w:firstLineChars="200"/>
        <w:outlineLvl w:val="2"/>
        <w:rPr>
          <w:rFonts w:ascii="宋体" w:hAnsi="宋体" w:cs="宋体"/>
          <w:bCs/>
          <w:color w:val="0D0D0D"/>
          <w:sz w:val="24"/>
          <w:szCs w:val="24"/>
        </w:rPr>
      </w:pPr>
      <w:bookmarkStart w:id="65" w:name="_Toc20823304"/>
      <w:bookmarkStart w:id="66" w:name="_Toc16938548"/>
      <w:bookmarkStart w:id="67" w:name="_Toc513029232"/>
      <w:r>
        <w:rPr>
          <w:rFonts w:hint="eastAsia" w:ascii="宋体" w:hAnsi="宋体" w:cs="宋体"/>
          <w:bCs/>
          <w:color w:val="0D0D0D"/>
          <w:sz w:val="24"/>
          <w:szCs w:val="24"/>
        </w:rPr>
        <w:t>4、评审过程的澄清</w:t>
      </w:r>
      <w:bookmarkEnd w:id="65"/>
      <w:bookmarkEnd w:id="66"/>
      <w:bookmarkEnd w:id="67"/>
      <w:r>
        <w:rPr>
          <w:rFonts w:hint="eastAsia" w:ascii="宋体" w:hAnsi="宋体" w:cs="宋体"/>
          <w:bCs/>
          <w:color w:val="0D0D0D"/>
          <w:sz w:val="24"/>
          <w:szCs w:val="24"/>
        </w:rPr>
        <w:t>、说明和更正</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4.3 接到磋商小组澄清要求的供应商如未按规定做出澄清，其风险由供应商自行承担。</w:t>
      </w:r>
    </w:p>
    <w:p>
      <w:pPr>
        <w:tabs>
          <w:tab w:val="left" w:pos="720"/>
        </w:tabs>
        <w:spacing w:line="460" w:lineRule="exact"/>
        <w:ind w:firstLine="480" w:firstLineChars="200"/>
        <w:outlineLvl w:val="2"/>
        <w:rPr>
          <w:rFonts w:ascii="宋体" w:hAnsi="宋体" w:cs="宋体"/>
          <w:bCs/>
          <w:color w:val="0D0D0D"/>
          <w:sz w:val="24"/>
          <w:szCs w:val="24"/>
        </w:rPr>
      </w:pPr>
      <w:bookmarkStart w:id="68" w:name="_Toc16938549"/>
      <w:bookmarkStart w:id="69" w:name="_Toc20823305"/>
      <w:bookmarkStart w:id="70" w:name="_Toc513029233"/>
      <w:r>
        <w:rPr>
          <w:rFonts w:hint="eastAsia" w:ascii="宋体" w:hAnsi="宋体" w:cs="宋体"/>
          <w:bCs/>
          <w:color w:val="0D0D0D"/>
          <w:sz w:val="24"/>
          <w:szCs w:val="24"/>
        </w:rPr>
        <w:t>5、对响应文件的初审</w:t>
      </w:r>
      <w:bookmarkEnd w:id="68"/>
      <w:bookmarkEnd w:id="69"/>
      <w:bookmarkEnd w:id="70"/>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5.1响应文件初审分为资格性检查和符合性检查。</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资格性检查：依据法律法规和磋商文件的规定，对响应文件中的资格证明文件等进行审查，以确定供应商是否具备参加磋商的资格。</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符合性检查：依据磋商文件的规定，从响应文件的有效性、完整性和对磋商文件的响应程度进行审查，以确定是否对磋商文件的实质性要求作出响应。</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5.2在正式磋商之前，磋商小组将首先审查每份响应文件是否实质性响应了磋商文件的要求。实质性响应的响应文件应该是与磋商文件要求的条款、条件和规格相符，没有重大偏离或保留。</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w:t>
      </w:r>
      <w:r>
        <w:rPr>
          <w:rFonts w:hint="eastAsia" w:ascii="宋体" w:hAnsi="宋体" w:cs="宋体"/>
          <w:color w:val="0D0D0D"/>
          <w:sz w:val="24"/>
          <w:szCs w:val="24"/>
        </w:rPr>
        <w:t>磋商</w:t>
      </w:r>
      <w:r>
        <w:rPr>
          <w:rFonts w:hint="eastAsia" w:ascii="宋体" w:hAnsi="宋体" w:cs="宋体"/>
          <w:bCs/>
          <w:color w:val="0D0D0D"/>
          <w:sz w:val="24"/>
          <w:szCs w:val="24"/>
        </w:rPr>
        <w:t>小组按照少数服从多数的原则作出结论。磋商小组决定响应文件的响应性只根据响应文件本身的内容，而不寻求外部的证据。</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5.3 被认定为未实质性响应磋商文件的响应文件的情形</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（1）未按照磋商文件规定要求密封、签署、盖章的；</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（2供应商在报价时采用选择性报价；</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（3）供应商不具备磋商文件中规定资格要求的；</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（4）不符合法律、法规和磋商文件中规定的其他实质性要求和条件的（本磋商文件中斜体且有下划线部分为实质性要求和条件）；</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（5）其他法律、法规及本磋商文件规定的属未实质性响应的响应文件的情形。</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5.4 未实质性响应磋商文件的响应文件按无效响应处理，磋商小组将予以拒绝，供应商不得通过修改或撤销不合要求的偏离或保留而使其响应文件成为实质性响应的文件。</w:t>
      </w:r>
    </w:p>
    <w:p>
      <w:pPr>
        <w:tabs>
          <w:tab w:val="left" w:pos="720"/>
        </w:tabs>
        <w:spacing w:line="460" w:lineRule="exact"/>
        <w:ind w:firstLine="480" w:firstLineChars="200"/>
        <w:outlineLvl w:val="2"/>
        <w:rPr>
          <w:rFonts w:ascii="宋体" w:hAnsi="宋体" w:cs="宋体"/>
          <w:bCs/>
          <w:color w:val="0D0D0D"/>
          <w:sz w:val="24"/>
          <w:szCs w:val="24"/>
        </w:rPr>
      </w:pPr>
      <w:bookmarkStart w:id="71" w:name="_Toc20823306"/>
      <w:bookmarkStart w:id="72" w:name="_Toc16938550"/>
      <w:bookmarkStart w:id="73" w:name="_Toc513029234"/>
      <w:r>
        <w:rPr>
          <w:rFonts w:hint="eastAsia" w:ascii="宋体" w:hAnsi="宋体" w:cs="宋体"/>
          <w:bCs/>
          <w:color w:val="0D0D0D"/>
          <w:sz w:val="24"/>
          <w:szCs w:val="24"/>
        </w:rPr>
        <w:t>6、</w:t>
      </w:r>
      <w:bookmarkEnd w:id="71"/>
      <w:bookmarkEnd w:id="72"/>
      <w:bookmarkEnd w:id="73"/>
      <w:r>
        <w:rPr>
          <w:rFonts w:hint="eastAsia" w:ascii="宋体" w:hAnsi="宋体" w:cs="宋体"/>
          <w:bCs/>
          <w:color w:val="0D0D0D"/>
          <w:sz w:val="24"/>
          <w:szCs w:val="24"/>
        </w:rPr>
        <w:t>磋商程序及评审方法和标准</w:t>
      </w:r>
    </w:p>
    <w:p>
      <w:pPr>
        <w:tabs>
          <w:tab w:val="left" w:pos="720"/>
        </w:tabs>
        <w:spacing w:line="460" w:lineRule="exact"/>
        <w:ind w:firstLine="480" w:firstLineChars="200"/>
        <w:outlineLvl w:val="2"/>
        <w:rPr>
          <w:rFonts w:ascii="宋体" w:hAnsi="宋体" w:cs="宋体"/>
          <w:bCs/>
          <w:color w:val="0D0D0D"/>
          <w:sz w:val="24"/>
          <w:szCs w:val="24"/>
        </w:rPr>
      </w:pPr>
      <w:bookmarkStart w:id="74" w:name="_Toc20823307"/>
      <w:bookmarkStart w:id="75" w:name="_Toc513029235"/>
      <w:bookmarkStart w:id="76" w:name="_Toc16938551"/>
      <w:r>
        <w:rPr>
          <w:rFonts w:hint="eastAsia" w:ascii="宋体" w:hAnsi="宋体" w:cs="宋体"/>
          <w:bCs/>
          <w:color w:val="0D0D0D"/>
          <w:sz w:val="24"/>
          <w:szCs w:val="24"/>
        </w:rPr>
        <w:t>6.1磋商程序</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6.1.1 对于通过资格性和符合性审查的供应商，磋商小组所有成员将集中与单一供应商分别进行磋商。</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在磋商过程中，磋商小组可能根据磋商文件和磋商情况实质性变动的内容有：采购需求中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 xml:space="preserve"> 6.1.2 磋商文件能够详细列明采购标的要求的，磋商结束后，磋商小组将要求所有实质性响应的供应商在规定时间内提交最后报价。</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 xml:space="preserve">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 </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6.2 评审方法和标准</w:t>
      </w:r>
    </w:p>
    <w:p>
      <w:pPr>
        <w:tabs>
          <w:tab w:val="left" w:pos="720"/>
        </w:tabs>
        <w:spacing w:line="460" w:lineRule="exact"/>
        <w:ind w:firstLine="480" w:firstLineChars="200"/>
        <w:outlineLvl w:val="2"/>
        <w:rPr>
          <w:rFonts w:ascii="宋体" w:hAnsi="宋体" w:cs="宋体"/>
          <w:b/>
          <w:bCs/>
          <w:color w:val="0D0D0D"/>
          <w:sz w:val="24"/>
          <w:szCs w:val="24"/>
        </w:rPr>
      </w:pPr>
      <w:r>
        <w:rPr>
          <w:rFonts w:hint="eastAsia" w:ascii="宋体" w:hAnsi="宋体" w:cs="宋体"/>
          <w:bCs/>
          <w:color w:val="0D0D0D"/>
          <w:sz w:val="24"/>
          <w:szCs w:val="24"/>
        </w:rPr>
        <w:t>6.2.1评审方法</w:t>
      </w:r>
      <w:r>
        <w:rPr>
          <w:rFonts w:hint="eastAsia" w:ascii="宋体" w:hAnsi="宋体" w:cs="宋体"/>
          <w:b/>
          <w:bCs/>
          <w:color w:val="0D0D0D"/>
          <w:sz w:val="24"/>
          <w:szCs w:val="24"/>
        </w:rPr>
        <w:t>。经磋商确定最终采购需求和提交最后报价的供应商后，由磋商小组采用综合评分法对提交最后报价的供应商的响应文件和最后报价进行综合评分。</w:t>
      </w:r>
    </w:p>
    <w:p>
      <w:pPr>
        <w:tabs>
          <w:tab w:val="left" w:pos="720"/>
        </w:tabs>
        <w:spacing w:line="460" w:lineRule="exact"/>
        <w:ind w:firstLine="482" w:firstLineChars="200"/>
        <w:outlineLvl w:val="2"/>
        <w:rPr>
          <w:rFonts w:ascii="宋体" w:hAnsi="宋体" w:cs="宋体"/>
          <w:b/>
          <w:bCs/>
          <w:color w:val="0D0D0D"/>
          <w:sz w:val="24"/>
          <w:szCs w:val="24"/>
        </w:rPr>
      </w:pPr>
      <w:r>
        <w:rPr>
          <w:rFonts w:hint="eastAsia" w:ascii="宋体" w:hAnsi="宋体" w:cs="宋体"/>
          <w:b/>
          <w:bCs/>
          <w:color w:val="0D0D0D"/>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6.2.2评审标准</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见本磋商文件第四章规定。</w:t>
      </w:r>
    </w:p>
    <w:p>
      <w:pPr>
        <w:tabs>
          <w:tab w:val="left" w:pos="720"/>
        </w:tabs>
        <w:spacing w:line="440" w:lineRule="exact"/>
        <w:ind w:firstLine="482" w:firstLineChars="200"/>
        <w:outlineLvl w:val="2"/>
        <w:rPr>
          <w:rFonts w:ascii="宋体" w:hAnsi="宋体" w:cs="宋体"/>
          <w:b/>
          <w:bCs/>
          <w:color w:val="0D0D0D"/>
          <w:sz w:val="24"/>
          <w:szCs w:val="24"/>
        </w:rPr>
      </w:pPr>
      <w:r>
        <w:rPr>
          <w:rFonts w:hint="eastAsia" w:ascii="宋体" w:hAnsi="宋体" w:cs="宋体"/>
          <w:b/>
          <w:bCs/>
          <w:color w:val="0D0D0D"/>
          <w:sz w:val="24"/>
          <w:szCs w:val="24"/>
        </w:rPr>
        <w:t>6.3采购活动终止的情况</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出现下列情形之一的，本次竞争性磋商采购活动将被终止：</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（1）因情况变化，不再符合规定的竞争性磋商采购方式适用情形的；</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（2）出现影响采购公正的违法、违规行为的；</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（3）除本磋商文件第6.1.2条第三款规定的情形外，在采购过程中符合要求的供应商或者报价未超过采购预算的供应商不足3家的。</w:t>
      </w:r>
    </w:p>
    <w:bookmarkEnd w:id="74"/>
    <w:bookmarkEnd w:id="75"/>
    <w:bookmarkEnd w:id="76"/>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五、成交</w:t>
      </w:r>
    </w:p>
    <w:p>
      <w:pPr>
        <w:tabs>
          <w:tab w:val="left" w:pos="720"/>
        </w:tabs>
        <w:spacing w:line="440" w:lineRule="exact"/>
        <w:ind w:firstLine="480" w:firstLineChars="200"/>
        <w:outlineLvl w:val="2"/>
        <w:rPr>
          <w:rFonts w:ascii="宋体" w:hAnsi="宋体" w:cs="宋体"/>
          <w:bCs/>
          <w:color w:val="0D0D0D"/>
          <w:sz w:val="24"/>
          <w:szCs w:val="24"/>
        </w:rPr>
      </w:pPr>
      <w:bookmarkStart w:id="77" w:name="_Toc513029238"/>
      <w:bookmarkStart w:id="78" w:name="_Toc20823310"/>
      <w:bookmarkStart w:id="79" w:name="_Toc16938554"/>
      <w:r>
        <w:rPr>
          <w:rFonts w:hint="eastAsia" w:ascii="宋体" w:hAnsi="宋体" w:cs="宋体"/>
          <w:bCs/>
          <w:color w:val="0D0D0D"/>
          <w:sz w:val="24"/>
          <w:szCs w:val="24"/>
        </w:rPr>
        <w:t>1、</w:t>
      </w:r>
      <w:bookmarkEnd w:id="77"/>
      <w:r>
        <w:rPr>
          <w:rFonts w:hint="eastAsia" w:ascii="宋体" w:hAnsi="宋体" w:cs="宋体"/>
          <w:bCs/>
          <w:color w:val="0D0D0D"/>
          <w:sz w:val="24"/>
          <w:szCs w:val="24"/>
        </w:rPr>
        <w:t>确定</w:t>
      </w:r>
      <w:bookmarkEnd w:id="78"/>
      <w:bookmarkEnd w:id="79"/>
      <w:r>
        <w:rPr>
          <w:rFonts w:hint="eastAsia" w:ascii="宋体" w:hAnsi="宋体" w:cs="宋体"/>
          <w:bCs/>
          <w:color w:val="0D0D0D"/>
          <w:sz w:val="24"/>
          <w:szCs w:val="24"/>
        </w:rPr>
        <w:t>成交单位</w:t>
      </w:r>
    </w:p>
    <w:p>
      <w:pPr>
        <w:tabs>
          <w:tab w:val="left" w:pos="720"/>
        </w:tabs>
        <w:spacing w:line="440" w:lineRule="exact"/>
        <w:ind w:firstLine="480" w:firstLineChars="200"/>
        <w:outlineLvl w:val="2"/>
        <w:rPr>
          <w:rFonts w:ascii="宋体" w:hAnsi="宋体" w:cs="宋体"/>
          <w:b/>
          <w:bCs/>
          <w:sz w:val="24"/>
          <w:szCs w:val="24"/>
        </w:rPr>
      </w:pPr>
      <w:r>
        <w:rPr>
          <w:rFonts w:hint="eastAsia" w:ascii="宋体" w:hAnsi="宋体" w:cs="宋体"/>
          <w:bCs/>
          <w:color w:val="0D0D0D"/>
          <w:sz w:val="24"/>
          <w:szCs w:val="24"/>
        </w:rPr>
        <w:t xml:space="preserve">1.1 </w:t>
      </w:r>
      <w:r>
        <w:rPr>
          <w:rFonts w:hint="eastAsia" w:ascii="宋体" w:hAnsi="宋体" w:cs="宋体"/>
          <w:b/>
          <w:bCs/>
          <w:color w:val="262626"/>
          <w:sz w:val="24"/>
          <w:szCs w:val="24"/>
        </w:rPr>
        <w:t>磋商小组根据综合评分情况，按照评审得分高低推荐排名第一的为成交候选供应商，并编写评审报告。综合得分并列第一的，按价格得分高者，作为第一候选供应商。各项得分都相同的，由采购人现场抽签确定。</w:t>
      </w:r>
    </w:p>
    <w:p>
      <w:pPr>
        <w:tabs>
          <w:tab w:val="left" w:pos="720"/>
        </w:tabs>
        <w:spacing w:line="440" w:lineRule="exact"/>
        <w:ind w:firstLine="480" w:firstLineChars="200"/>
        <w:outlineLvl w:val="2"/>
        <w:rPr>
          <w:rFonts w:ascii="宋体" w:hAnsi="宋体" w:cs="宋体"/>
          <w:b/>
          <w:bCs/>
          <w:sz w:val="24"/>
          <w:szCs w:val="24"/>
        </w:rPr>
      </w:pPr>
      <w:r>
        <w:rPr>
          <w:rFonts w:hint="eastAsia" w:ascii="宋体" w:hAnsi="宋体" w:cs="宋体"/>
          <w:bCs/>
          <w:sz w:val="24"/>
          <w:szCs w:val="24"/>
        </w:rPr>
        <w:t>1.2采购人根据磋商小组推荐的成交候选人确定成交供应商。</w:t>
      </w:r>
      <w:r>
        <w:rPr>
          <w:rFonts w:hint="eastAsia" w:ascii="宋体" w:hAnsi="宋体" w:cs="宋体"/>
          <w:b/>
          <w:bCs/>
          <w:sz w:val="24"/>
          <w:szCs w:val="24"/>
        </w:rPr>
        <w:t>采购人确定成交供应商后，将在“江苏航运职业技术学院”发布成交结果公告，公告期限为1个工作日。</w:t>
      </w:r>
    </w:p>
    <w:p>
      <w:pPr>
        <w:tabs>
          <w:tab w:val="left" w:pos="720"/>
        </w:tabs>
        <w:spacing w:line="440" w:lineRule="exact"/>
        <w:ind w:firstLine="482" w:firstLineChars="200"/>
        <w:outlineLvl w:val="2"/>
        <w:rPr>
          <w:rFonts w:ascii="宋体" w:hAnsi="宋体" w:cs="宋体"/>
          <w:b/>
          <w:bCs/>
          <w:color w:val="0D0D0D"/>
          <w:sz w:val="24"/>
          <w:szCs w:val="24"/>
        </w:rPr>
      </w:pPr>
      <w:r>
        <w:rPr>
          <w:rFonts w:hint="eastAsia" w:ascii="宋体" w:hAnsi="宋体" w:cs="宋体"/>
          <w:b/>
          <w:bCs/>
          <w:sz w:val="24"/>
          <w:szCs w:val="24"/>
        </w:rPr>
        <w:t>1.3若有充分证据证明，成交供应商出现下列情</w:t>
      </w:r>
      <w:r>
        <w:rPr>
          <w:rFonts w:hint="eastAsia" w:ascii="宋体" w:hAnsi="宋体" w:cs="宋体"/>
          <w:b/>
          <w:bCs/>
          <w:color w:val="0D0D0D"/>
          <w:sz w:val="24"/>
          <w:szCs w:val="24"/>
        </w:rPr>
        <w:t>况之一的，一经查实，将被取消成交资格：</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（1）提供虚假材料谋取成交的；</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（2）与评审专家、采购人、其他供应商或者代理机构工作人员恶意串通的；</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（3）向评审专家、采购人或代理机构工作人员行贿或者提供其他不正当利益的；</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（4）恶意竞争，最终总报价明显低于其自身合理成本且又无法提供证明的；</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（5）不满足本磋商文件规定的实质性要求，但在评审过程中又未被磋商小组发现的；</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（6）成交后无正当理由拒不与采购人签订政府采购合同或者未按照磋商文件确定的事项签订政府采购合同；</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（7）将政府采购合同转包；</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（8）法律、法规、规章规定的属于成交无效的其他情形。</w:t>
      </w:r>
    </w:p>
    <w:p>
      <w:pPr>
        <w:tabs>
          <w:tab w:val="left" w:pos="720"/>
        </w:tabs>
        <w:spacing w:line="440" w:lineRule="exact"/>
        <w:ind w:firstLine="482" w:firstLineChars="200"/>
        <w:outlineLvl w:val="2"/>
        <w:rPr>
          <w:rFonts w:ascii="宋体" w:hAnsi="宋体" w:cs="宋体"/>
          <w:b/>
          <w:bCs/>
          <w:color w:val="0D0D0D"/>
          <w:sz w:val="24"/>
          <w:szCs w:val="24"/>
        </w:rPr>
      </w:pPr>
      <w:r>
        <w:rPr>
          <w:rFonts w:hint="eastAsia" w:ascii="宋体" w:hAnsi="宋体" w:cs="宋体"/>
          <w:b/>
          <w:bCs/>
          <w:color w:val="0D0D0D"/>
          <w:sz w:val="24"/>
          <w:szCs w:val="24"/>
        </w:rPr>
        <w:t>2、质疑处理</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2.1磋商供应商认为磋商文件、采购过程和采购结果使自己的权益受到损害的，</w:t>
      </w:r>
      <w:r>
        <w:rPr>
          <w:rFonts w:hint="eastAsia" w:ascii="宋体" w:hAnsi="宋体" w:cs="宋体"/>
          <w:b/>
          <w:bCs/>
          <w:color w:val="0D0D0D"/>
          <w:sz w:val="24"/>
          <w:szCs w:val="24"/>
        </w:rPr>
        <w:t>可以在知道或应知其权益受到损害之日起七个工作日内，以书面形式向采购人提出质疑。</w:t>
      </w:r>
      <w:r>
        <w:rPr>
          <w:rFonts w:hint="eastAsia" w:ascii="宋体" w:hAnsi="宋体" w:cs="宋体"/>
          <w:bCs/>
          <w:color w:val="0D0D0D"/>
          <w:sz w:val="24"/>
          <w:szCs w:val="24"/>
        </w:rPr>
        <w:t>上述应知其权益受到损害之日，是指：</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（1）对可以质疑的磋商文件提出质疑的，为收到磋商文件之日或者磋商文件公告期限届满之日；</w:t>
      </w:r>
    </w:p>
    <w:p>
      <w:pPr>
        <w:tabs>
          <w:tab w:val="left" w:pos="720"/>
        </w:tabs>
        <w:spacing w:line="44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（2）对采购过程提出质疑的，为各采购程序环节结束之日；</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（3）对成交结果提出质疑的，为成交结果公告期限届满之日。</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2.2质疑必须由磋商供应商法定代表人或授权代表（响应文件中所确定的）以原件送达的方式提交，未按上述要求提交的质疑函（含传真、电子邮件等）代理机构有权不予受理。</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2.3未参加磋商采购活动的供应商或在磋商采购活动中自身权益未受到损害的供应商所提出的质疑不予受理。</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2.4质疑函应当包括下列内容：</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（1）质疑供应商的名称、地址、邮编、联系人、联系电话；</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（2）具体的质疑事项及明确的请求；</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（3）认为自己合法权益受到损害或可能受到损害的相关证据材料；</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（4）提起质疑的日期；</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2.5代理机构收到质疑函后，将对质疑的形式和内容进行审查，如质疑函内容、格式不符合规定，代理机构将告知质疑人进行补正。</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2.6质疑人应当在法定质疑期限内进行补正并重新提交质疑函，拒不补正或者在法定期限内未重新提交质疑函的，为无效质疑，代理机构有权不予受理。</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2.7对于内容、格式符合规定的质疑函，代理机构将在收到参加</w:t>
      </w:r>
      <w:r>
        <w:rPr>
          <w:rFonts w:hint="eastAsia" w:ascii="宋体" w:hAnsi="宋体" w:cs="宋体"/>
          <w:color w:val="0D0D0D"/>
          <w:sz w:val="24"/>
          <w:szCs w:val="24"/>
        </w:rPr>
        <w:t>磋商</w:t>
      </w:r>
      <w:r>
        <w:rPr>
          <w:rFonts w:hint="eastAsia" w:ascii="宋体" w:hAnsi="宋体" w:cs="宋体"/>
          <w:bCs/>
          <w:color w:val="0D0D0D"/>
          <w:sz w:val="24"/>
          <w:szCs w:val="24"/>
        </w:rPr>
        <w:t>供应商的书面质疑后七个工作日内作出答复，并以书面形式通知质疑供应商和其他相关供应商，答复的内容不涉及商业秘密。</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2.8供应商提出书面质疑必须有理、有据，不得恶意质疑或提交虚假质疑。否则，一经查实，代理机构有权依据政府采购的有关规定，报请政府采购监管部门对该供应商进行相应的行政处罚。</w:t>
      </w:r>
    </w:p>
    <w:p>
      <w:pPr>
        <w:tabs>
          <w:tab w:val="left" w:pos="720"/>
        </w:tabs>
        <w:spacing w:line="460" w:lineRule="exact"/>
        <w:ind w:firstLine="480" w:firstLineChars="200"/>
        <w:outlineLvl w:val="2"/>
        <w:rPr>
          <w:rFonts w:ascii="宋体" w:hAnsi="宋体" w:cs="宋体"/>
          <w:bCs/>
          <w:color w:val="0D0D0D"/>
          <w:sz w:val="24"/>
          <w:szCs w:val="24"/>
        </w:rPr>
      </w:pPr>
      <w:bookmarkStart w:id="80" w:name="_Toc16938553"/>
      <w:bookmarkStart w:id="81" w:name="_Toc20823309"/>
      <w:bookmarkStart w:id="82" w:name="_Toc513029237"/>
      <w:r>
        <w:rPr>
          <w:rFonts w:hint="eastAsia" w:ascii="宋体" w:hAnsi="宋体" w:cs="宋体"/>
          <w:bCs/>
          <w:color w:val="0D0D0D"/>
          <w:sz w:val="24"/>
          <w:szCs w:val="24"/>
        </w:rPr>
        <w:t>六、合同签订相关事项</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1、签订合同</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1.l成交供应商确定后，代理机构将向成交供应商发出成交通知书。成交供应商应按成交通知书规定的时间、地点,按照磋商文件确定的事项与采购人签订合同。</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1.2 磋商文件、成交供应商的响应文件及磋商采购过程中有关澄清、承诺文件均应作为合同附件。</w:t>
      </w:r>
    </w:p>
    <w:p>
      <w:pPr>
        <w:tabs>
          <w:tab w:val="left" w:pos="720"/>
        </w:tabs>
        <w:spacing w:line="460" w:lineRule="exact"/>
        <w:ind w:firstLine="480" w:firstLineChars="200"/>
        <w:outlineLvl w:val="2"/>
        <w:rPr>
          <w:rFonts w:ascii="宋体" w:hAnsi="宋体" w:cs="宋体"/>
          <w:bCs/>
          <w:color w:val="0D0D0D"/>
          <w:sz w:val="24"/>
          <w:szCs w:val="24"/>
        </w:rPr>
      </w:pPr>
      <w:r>
        <w:rPr>
          <w:rFonts w:hint="eastAsia" w:ascii="宋体" w:hAnsi="宋体" w:cs="宋体"/>
          <w:bCs/>
          <w:color w:val="0D0D0D"/>
          <w:sz w:val="24"/>
          <w:szCs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pStyle w:val="80"/>
        <w:ind w:firstLine="480" w:firstLineChars="200"/>
        <w:rPr>
          <w:rFonts w:cs="宋体"/>
          <w:sz w:val="24"/>
        </w:rPr>
      </w:pPr>
      <w:r>
        <w:rPr>
          <w:rFonts w:hint="eastAsia" w:cs="宋体"/>
          <w:sz w:val="24"/>
        </w:rPr>
        <w:t>2、质保金</w:t>
      </w:r>
    </w:p>
    <w:p>
      <w:pPr>
        <w:pStyle w:val="85"/>
        <w:spacing w:line="380" w:lineRule="exact"/>
        <w:ind w:firstLine="480"/>
        <w:rPr>
          <w:rFonts w:ascii="宋体" w:hAnsi="宋体"/>
          <w:color w:val="000000"/>
          <w:sz w:val="24"/>
          <w:szCs w:val="24"/>
        </w:rPr>
      </w:pPr>
      <w:r>
        <w:rPr>
          <w:rFonts w:hint="eastAsia" w:ascii="宋体" w:hAnsi="宋体"/>
          <w:color w:val="000000"/>
          <w:sz w:val="24"/>
          <w:szCs w:val="24"/>
        </w:rPr>
        <w:t>2.1</w:t>
      </w:r>
      <w:r>
        <w:rPr>
          <w:rFonts w:hint="eastAsia"/>
          <w:color w:val="000000"/>
          <w:sz w:val="24"/>
          <w:szCs w:val="24"/>
        </w:rPr>
        <w:t>签订合同前，成交供应商应将合同总价的10%</w:t>
      </w:r>
      <w:r>
        <w:rPr>
          <w:rFonts w:hint="eastAsia" w:ascii="宋体" w:hAnsi="宋体"/>
          <w:color w:val="000000"/>
          <w:sz w:val="24"/>
          <w:szCs w:val="24"/>
        </w:rPr>
        <w:t>（计XXX元）作为质保金汇至采购人账户（</w:t>
      </w:r>
      <w:r>
        <w:rPr>
          <w:rFonts w:hint="eastAsia"/>
          <w:color w:val="000000"/>
          <w:sz w:val="24"/>
          <w:szCs w:val="24"/>
        </w:rPr>
        <w:t>户名：江苏航运职业技术学院，</w:t>
      </w:r>
      <w:r>
        <w:rPr>
          <w:rFonts w:hint="eastAsia" w:ascii="宋体" w:hAnsi="宋体"/>
          <w:color w:val="000000"/>
          <w:sz w:val="24"/>
          <w:szCs w:val="24"/>
        </w:rPr>
        <w:t>开户行：中国建设银行南通经济技术开发区支行，账号：32001642336052515609，统一社会信用代码：123200004660042577）。质保金在产品验收合格三年后若无质量问题，由采购人一次性无息付清。</w:t>
      </w:r>
    </w:p>
    <w:p>
      <w:pPr>
        <w:pStyle w:val="85"/>
        <w:spacing w:line="380" w:lineRule="exact"/>
        <w:ind w:firstLine="480"/>
        <w:rPr>
          <w:rFonts w:ascii="宋体" w:hAnsi="宋体"/>
          <w:color w:val="000000"/>
          <w:sz w:val="24"/>
          <w:szCs w:val="24"/>
        </w:rPr>
      </w:pPr>
      <w:r>
        <w:rPr>
          <w:rFonts w:hint="eastAsia" w:ascii="宋体" w:hAnsi="宋体"/>
          <w:color w:val="000000"/>
          <w:sz w:val="24"/>
          <w:szCs w:val="24"/>
        </w:rPr>
        <w:t>3、货款支付</w:t>
      </w:r>
    </w:p>
    <w:p>
      <w:pPr>
        <w:pStyle w:val="85"/>
        <w:spacing w:line="380" w:lineRule="exact"/>
        <w:ind w:firstLine="480"/>
        <w:rPr>
          <w:rFonts w:ascii="宋体" w:hAnsi="宋体"/>
          <w:color w:val="000000"/>
          <w:sz w:val="24"/>
          <w:szCs w:val="24"/>
        </w:rPr>
      </w:pPr>
      <w:r>
        <w:rPr>
          <w:rFonts w:hint="eastAsia" w:ascii="宋体" w:hAnsi="宋体"/>
          <w:color w:val="000000"/>
          <w:sz w:val="24"/>
          <w:szCs w:val="24"/>
        </w:rPr>
        <w:t>3.1签订合同后，在需方现场安装调试完毕后，经需方根据合同和标书条款验收合格，需方向供方全额支付合同总价款；质保金在三年质保期后若无质量问题，由需方一次性付清。验收合格之日起计算，硬件平台、所有功能模块、网络链路均提供三年原厂质保和升级服务,提供3年免费质保上门服务。</w:t>
      </w:r>
    </w:p>
    <w:p>
      <w:pPr>
        <w:pStyle w:val="85"/>
        <w:spacing w:line="380" w:lineRule="exact"/>
        <w:ind w:firstLine="480"/>
        <w:rPr>
          <w:rFonts w:ascii="宋体" w:hAnsi="宋体"/>
          <w:color w:val="000000"/>
          <w:sz w:val="24"/>
          <w:szCs w:val="24"/>
        </w:rPr>
      </w:pPr>
    </w:p>
    <w:p>
      <w:pPr>
        <w:pStyle w:val="85"/>
        <w:spacing w:line="380" w:lineRule="exact"/>
        <w:ind w:firstLine="480"/>
        <w:rPr>
          <w:rFonts w:ascii="宋体" w:hAnsi="宋体"/>
          <w:color w:val="000000"/>
          <w:sz w:val="24"/>
          <w:szCs w:val="24"/>
        </w:rPr>
      </w:pPr>
    </w:p>
    <w:p>
      <w:pPr>
        <w:pStyle w:val="85"/>
        <w:spacing w:line="380" w:lineRule="exact"/>
        <w:ind w:firstLine="480"/>
        <w:rPr>
          <w:rFonts w:ascii="宋体" w:hAnsi="宋体"/>
          <w:color w:val="000000"/>
          <w:sz w:val="24"/>
          <w:szCs w:val="24"/>
        </w:rPr>
      </w:pPr>
    </w:p>
    <w:p>
      <w:pPr>
        <w:pStyle w:val="85"/>
        <w:spacing w:line="380" w:lineRule="exact"/>
        <w:ind w:firstLine="480"/>
        <w:rPr>
          <w:rFonts w:ascii="宋体" w:hAnsi="宋体"/>
          <w:color w:val="000000"/>
          <w:sz w:val="24"/>
          <w:szCs w:val="24"/>
        </w:rPr>
      </w:pPr>
    </w:p>
    <w:p>
      <w:pPr>
        <w:pStyle w:val="85"/>
        <w:spacing w:line="380" w:lineRule="exact"/>
        <w:ind w:firstLine="480"/>
        <w:rPr>
          <w:rFonts w:ascii="宋体" w:hAnsi="宋体"/>
          <w:color w:val="000000"/>
          <w:sz w:val="24"/>
          <w:szCs w:val="24"/>
        </w:rPr>
      </w:pPr>
    </w:p>
    <w:p>
      <w:pPr>
        <w:pStyle w:val="85"/>
        <w:spacing w:line="380" w:lineRule="exact"/>
        <w:ind w:firstLine="480"/>
        <w:rPr>
          <w:rFonts w:ascii="宋体" w:hAnsi="宋体"/>
          <w:color w:val="000000"/>
          <w:sz w:val="24"/>
          <w:szCs w:val="24"/>
        </w:rPr>
      </w:pPr>
    </w:p>
    <w:p>
      <w:pPr>
        <w:pStyle w:val="85"/>
        <w:spacing w:line="380" w:lineRule="exact"/>
        <w:ind w:firstLine="480"/>
        <w:rPr>
          <w:rFonts w:ascii="宋体" w:hAnsi="宋体"/>
          <w:color w:val="000000"/>
          <w:sz w:val="24"/>
          <w:szCs w:val="24"/>
        </w:rPr>
      </w:pPr>
    </w:p>
    <w:bookmarkEnd w:id="80"/>
    <w:bookmarkEnd w:id="81"/>
    <w:bookmarkEnd w:id="82"/>
    <w:p>
      <w:pPr>
        <w:pStyle w:val="3"/>
        <w:rPr>
          <w:rFonts w:ascii="宋体" w:hAnsi="宋体" w:cs="宋体"/>
          <w:sz w:val="24"/>
          <w:szCs w:val="24"/>
        </w:rPr>
      </w:pPr>
      <w:bookmarkStart w:id="83" w:name="OLE_LINK3"/>
    </w:p>
    <w:p>
      <w:pPr>
        <w:spacing w:line="360" w:lineRule="auto"/>
        <w:jc w:val="center"/>
        <w:rPr>
          <w:rFonts w:ascii="宋体" w:hAnsi="宋体"/>
          <w:b/>
          <w:sz w:val="32"/>
          <w:szCs w:val="32"/>
        </w:rPr>
      </w:pPr>
      <w:r>
        <w:rPr>
          <w:rFonts w:hint="eastAsia" w:ascii="宋体" w:hAnsi="宋体" w:cs="Arial"/>
          <w:b/>
          <w:bCs/>
          <w:sz w:val="32"/>
          <w:szCs w:val="32"/>
        </w:rPr>
        <w:t>第三章  采购内容及技术功能参数要求</w:t>
      </w:r>
    </w:p>
    <w:bookmarkEnd w:id="83"/>
    <w:p>
      <w:pPr>
        <w:pStyle w:val="6"/>
        <w:spacing w:line="360" w:lineRule="auto"/>
        <w:rPr>
          <w:rFonts w:ascii="宋体" w:hAnsi="宋体"/>
          <w:color w:val="000000"/>
          <w:sz w:val="24"/>
        </w:rPr>
      </w:pPr>
      <w:r>
        <w:rPr>
          <w:rFonts w:ascii="宋体" w:hAnsi="宋体"/>
          <w:color w:val="000000"/>
          <w:sz w:val="24"/>
        </w:rPr>
        <w:t>采购内容</w:t>
      </w:r>
    </w:p>
    <w:p>
      <w:pPr>
        <w:pStyle w:val="85"/>
        <w:numPr>
          <w:ilvl w:val="0"/>
          <w:numId w:val="2"/>
        </w:numPr>
        <w:spacing w:line="360" w:lineRule="auto"/>
        <w:ind w:firstLineChars="0"/>
        <w:rPr>
          <w:rFonts w:ascii="宋体" w:hAnsi="宋体"/>
          <w:sz w:val="24"/>
          <w:szCs w:val="24"/>
        </w:rPr>
      </w:pPr>
      <w:r>
        <w:rPr>
          <w:rFonts w:hint="eastAsia" w:ascii="宋体" w:hAnsi="宋体"/>
          <w:sz w:val="24"/>
          <w:szCs w:val="24"/>
        </w:rPr>
        <w:t>视频会议部分</w:t>
      </w:r>
    </w:p>
    <w:p>
      <w:pPr>
        <w:pStyle w:val="85"/>
        <w:spacing w:line="360" w:lineRule="auto"/>
        <w:ind w:left="420" w:firstLine="480"/>
        <w:rPr>
          <w:rFonts w:ascii="宋体" w:hAnsi="宋体"/>
          <w:sz w:val="24"/>
          <w:szCs w:val="24"/>
        </w:rPr>
      </w:pPr>
      <w:r>
        <w:rPr>
          <w:rFonts w:hint="eastAsia" w:ascii="宋体" w:hAnsi="宋体"/>
          <w:sz w:val="24"/>
          <w:szCs w:val="24"/>
        </w:rPr>
        <w:t>新增一套视频会议设备，用来上联省厅，设备部署在崇德楼5楼会议室，终端主机安装在控制室现有机柜里，音频部分对接现有调音台，传输双向音频。摄像头壁装部署在两个投影幕布中间墙壁上，采集本地画面，经视频会议主机编解码后传递到远端会场。</w:t>
      </w:r>
    </w:p>
    <w:p>
      <w:pPr>
        <w:pStyle w:val="85"/>
        <w:numPr>
          <w:ilvl w:val="0"/>
          <w:numId w:val="2"/>
        </w:numPr>
        <w:spacing w:line="360" w:lineRule="auto"/>
        <w:ind w:firstLineChars="0"/>
        <w:rPr>
          <w:rFonts w:ascii="宋体" w:hAnsi="宋体"/>
          <w:sz w:val="24"/>
          <w:szCs w:val="24"/>
        </w:rPr>
      </w:pPr>
      <w:r>
        <w:rPr>
          <w:rFonts w:hint="eastAsia" w:ascii="宋体" w:hAnsi="宋体"/>
          <w:sz w:val="24"/>
          <w:szCs w:val="24"/>
        </w:rPr>
        <w:t>网络部分</w:t>
      </w:r>
    </w:p>
    <w:p>
      <w:pPr>
        <w:pStyle w:val="85"/>
        <w:spacing w:line="360" w:lineRule="auto"/>
        <w:ind w:left="420" w:firstLineChars="0"/>
        <w:rPr>
          <w:rFonts w:ascii="宋体" w:hAnsi="宋体"/>
          <w:sz w:val="24"/>
          <w:szCs w:val="24"/>
        </w:rPr>
      </w:pPr>
      <w:r>
        <w:rPr>
          <w:rFonts w:hint="eastAsia" w:ascii="宋体" w:hAnsi="宋体"/>
          <w:sz w:val="24"/>
          <w:szCs w:val="24"/>
        </w:rPr>
        <w:t>视频会议专线接入点在崇德楼4楼原有视频会议室控制室内，重新部署一条光纤到5楼会议室，采用24芯室外铠装单模光纤（长度约1</w:t>
      </w:r>
      <w:r>
        <w:rPr>
          <w:rFonts w:ascii="宋体" w:hAnsi="宋体"/>
          <w:sz w:val="24"/>
          <w:szCs w:val="24"/>
        </w:rPr>
        <w:t>00米</w:t>
      </w:r>
      <w:r>
        <w:rPr>
          <w:rFonts w:hint="eastAsia" w:ascii="宋体" w:hAnsi="宋体"/>
          <w:sz w:val="24"/>
          <w:szCs w:val="24"/>
        </w:rPr>
        <w:t>），经原有桥架及弱电井敷设，两端按需进行熔纤、跳线，确保链路互联互通，保证视频会议网络稳定。</w:t>
      </w:r>
    </w:p>
    <w:p>
      <w:pPr>
        <w:pStyle w:val="85"/>
        <w:numPr>
          <w:ilvl w:val="0"/>
          <w:numId w:val="2"/>
        </w:numPr>
        <w:spacing w:line="360" w:lineRule="auto"/>
        <w:ind w:firstLineChars="0"/>
        <w:rPr>
          <w:rFonts w:ascii="宋体" w:hAnsi="宋体"/>
          <w:sz w:val="24"/>
          <w:szCs w:val="24"/>
        </w:rPr>
      </w:pPr>
      <w:r>
        <w:rPr>
          <w:rFonts w:hint="eastAsia" w:ascii="宋体" w:hAnsi="宋体"/>
          <w:sz w:val="24"/>
          <w:szCs w:val="24"/>
        </w:rPr>
        <w:t>安全部分</w:t>
      </w:r>
    </w:p>
    <w:p>
      <w:pPr>
        <w:pStyle w:val="85"/>
        <w:spacing w:line="360" w:lineRule="auto"/>
        <w:ind w:left="420" w:firstLineChars="0"/>
        <w:rPr>
          <w:rFonts w:ascii="宋体" w:hAnsi="宋体"/>
          <w:sz w:val="24"/>
          <w:szCs w:val="24"/>
        </w:rPr>
      </w:pPr>
      <w:r>
        <w:rPr>
          <w:rFonts w:hint="eastAsia" w:ascii="宋体" w:hAnsi="宋体"/>
          <w:sz w:val="24"/>
          <w:szCs w:val="24"/>
        </w:rPr>
        <w:t>新增一台视频会议专线接入防火墙，按照省厅要求关闭风险端口，配制安全策略，并做好流量清洗和管控，保证整个视频会议系统的安全性，满足合规要求。</w:t>
      </w:r>
    </w:p>
    <w:p>
      <w:pPr>
        <w:pStyle w:val="6"/>
        <w:rPr>
          <w:rFonts w:ascii="宋体" w:hAnsi="宋体"/>
          <w:color w:val="000000"/>
          <w:sz w:val="24"/>
        </w:rPr>
      </w:pPr>
      <w:r>
        <w:rPr>
          <w:rFonts w:hint="eastAsia" w:ascii="宋体" w:hAnsi="宋体"/>
          <w:color w:val="000000"/>
          <w:sz w:val="24"/>
        </w:rPr>
        <w:t>需求清单：</w:t>
      </w:r>
    </w:p>
    <w:tbl>
      <w:tblPr>
        <w:tblStyle w:val="30"/>
        <w:tblW w:w="9493" w:type="dxa"/>
        <w:jc w:val="center"/>
        <w:tblLayout w:type="autofit"/>
        <w:tblCellMar>
          <w:top w:w="0" w:type="dxa"/>
          <w:left w:w="108" w:type="dxa"/>
          <w:bottom w:w="0" w:type="dxa"/>
          <w:right w:w="108" w:type="dxa"/>
        </w:tblCellMar>
      </w:tblPr>
      <w:tblGrid>
        <w:gridCol w:w="709"/>
        <w:gridCol w:w="1559"/>
        <w:gridCol w:w="5807"/>
        <w:gridCol w:w="709"/>
        <w:gridCol w:w="709"/>
      </w:tblGrid>
      <w:tr>
        <w:tblPrEx>
          <w:tblCellMar>
            <w:top w:w="0" w:type="dxa"/>
            <w:left w:w="108" w:type="dxa"/>
            <w:bottom w:w="0" w:type="dxa"/>
            <w:right w:w="108" w:type="dxa"/>
          </w:tblCellMar>
        </w:tblPrEx>
        <w:trPr>
          <w:trHeight w:val="2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6A6A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559" w:type="dxa"/>
            <w:tcBorders>
              <w:top w:val="single" w:color="auto" w:sz="4" w:space="0"/>
              <w:left w:val="nil"/>
              <w:bottom w:val="single" w:color="auto" w:sz="4" w:space="0"/>
              <w:right w:val="single" w:color="auto" w:sz="4" w:space="0"/>
            </w:tcBorders>
            <w:shd w:val="clear" w:color="auto" w:fill="A6A6A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5807" w:type="dxa"/>
            <w:tcBorders>
              <w:top w:val="single" w:color="auto" w:sz="4" w:space="0"/>
              <w:left w:val="nil"/>
              <w:bottom w:val="single" w:color="auto" w:sz="4" w:space="0"/>
              <w:right w:val="single" w:color="auto" w:sz="4" w:space="0"/>
            </w:tcBorders>
            <w:shd w:val="clear" w:color="auto" w:fill="A6A6A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基本要求</w:t>
            </w:r>
          </w:p>
        </w:tc>
        <w:tc>
          <w:tcPr>
            <w:tcW w:w="709" w:type="dxa"/>
            <w:tcBorders>
              <w:top w:val="single" w:color="auto" w:sz="4" w:space="0"/>
              <w:left w:val="nil"/>
              <w:bottom w:val="single" w:color="auto" w:sz="4" w:space="0"/>
              <w:right w:val="single" w:color="auto" w:sz="4" w:space="0"/>
            </w:tcBorders>
            <w:shd w:val="clear" w:color="auto" w:fill="A6A6A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数量</w:t>
            </w:r>
          </w:p>
        </w:tc>
        <w:tc>
          <w:tcPr>
            <w:tcW w:w="709" w:type="dxa"/>
            <w:tcBorders>
              <w:top w:val="single" w:color="auto" w:sz="4" w:space="0"/>
              <w:left w:val="nil"/>
              <w:bottom w:val="single" w:color="auto" w:sz="4" w:space="0"/>
              <w:right w:val="single" w:color="auto" w:sz="4" w:space="0"/>
            </w:tcBorders>
            <w:shd w:val="clear" w:color="auto" w:fill="A6A6A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r>
      <w:tr>
        <w:tblPrEx>
          <w:tblCellMar>
            <w:top w:w="0" w:type="dxa"/>
            <w:left w:w="108" w:type="dxa"/>
            <w:bottom w:w="0" w:type="dxa"/>
            <w:right w:w="108" w:type="dxa"/>
          </w:tblCellMar>
        </w:tblPrEx>
        <w:trPr>
          <w:trHeight w:val="875"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视频会议终端套装</w:t>
            </w:r>
          </w:p>
        </w:tc>
        <w:tc>
          <w:tcPr>
            <w:tcW w:w="58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1U 标准机架式，包含有主机、高清摄像头、包含7.6M线全向麦克风、遥控器等其他辅材，三年质保。</w:t>
            </w:r>
          </w:p>
          <w:p>
            <w:pPr>
              <w:widowControl/>
              <w:jc w:val="left"/>
              <w:rPr>
                <w:rFonts w:ascii="宋体" w:hAnsi="宋体" w:cs="宋体"/>
                <w:b/>
                <w:kern w:val="0"/>
                <w:sz w:val="22"/>
              </w:rPr>
            </w:pPr>
            <w:r>
              <w:rPr>
                <w:rFonts w:hint="eastAsia" w:ascii="宋体" w:hAnsi="宋体" w:cs="宋体"/>
                <w:b/>
                <w:kern w:val="0"/>
                <w:sz w:val="22"/>
              </w:rPr>
              <w:t>详细功能参数见功能参数要求。</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r>
      <w:tr>
        <w:tblPrEx>
          <w:tblCellMar>
            <w:top w:w="0" w:type="dxa"/>
            <w:left w:w="108" w:type="dxa"/>
            <w:bottom w:w="0" w:type="dxa"/>
            <w:right w:w="108" w:type="dxa"/>
          </w:tblCellMar>
        </w:tblPrEx>
        <w:trPr>
          <w:trHeight w:val="2310"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视频会议专线接入防火墙</w:t>
            </w:r>
          </w:p>
        </w:tc>
        <w:tc>
          <w:tcPr>
            <w:tcW w:w="58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性能参数：网络层吞吐量：4G，应用层吞吐量：1G，防病毒吞吐量：400M，IPS吞吐量：300M，全威胁吞吐量：200M，并发连接数：100万，HTTP新建连接数：2万。硬件参数：规格：1U，内存大小：4G，硬盘容量：64G minisata SSD，电源：单电源，接口：6千兆电口+2千兆光口SFP。含：软件基础级(*1套);病毒威胁库 (*2套);产品质保(*3年);软件升级(*3年)。</w:t>
            </w:r>
          </w:p>
          <w:p>
            <w:pPr>
              <w:widowControl/>
              <w:jc w:val="left"/>
              <w:rPr>
                <w:rFonts w:ascii="宋体" w:hAnsi="宋体" w:cs="宋体"/>
                <w:b/>
                <w:kern w:val="0"/>
                <w:sz w:val="22"/>
              </w:rPr>
            </w:pPr>
            <w:r>
              <w:rPr>
                <w:rFonts w:hint="eastAsia" w:ascii="宋体" w:hAnsi="宋体" w:cs="宋体"/>
                <w:b/>
                <w:kern w:val="0"/>
                <w:sz w:val="22"/>
              </w:rPr>
              <w:t>详细功能参数见功能参数要求。</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CellMar>
            <w:top w:w="0" w:type="dxa"/>
            <w:left w:w="108" w:type="dxa"/>
            <w:bottom w:w="0" w:type="dxa"/>
            <w:right w:w="108" w:type="dxa"/>
          </w:tblCellMar>
        </w:tblPrEx>
        <w:trPr>
          <w:trHeight w:val="1974"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光交换机</w:t>
            </w:r>
          </w:p>
        </w:tc>
        <w:tc>
          <w:tcPr>
            <w:tcW w:w="58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固定端口：8个10/100/1000Mbps自适应以太网端口，1个1000Base-X SFP端口；端口属性：连接器类型：RJ-45,支持半双工、全双工、自协商工作模式;光口端口属性:连接器类型：LC,支持1000Mbit/s传输速率全双工，含光模块,</w:t>
            </w:r>
            <w:r>
              <w:rPr>
                <w:rFonts w:hint="eastAsia" w:ascii="宋体" w:hAnsi="宋体" w:cs="宋体"/>
                <w:kern w:val="0"/>
                <w:sz w:val="22"/>
              </w:rPr>
              <w:t>三年质保。</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CellMar>
            <w:top w:w="0" w:type="dxa"/>
            <w:left w:w="108" w:type="dxa"/>
            <w:bottom w:w="0" w:type="dxa"/>
            <w:right w:w="108" w:type="dxa"/>
          </w:tblCellMar>
        </w:tblPrEx>
        <w:trPr>
          <w:trHeight w:val="447"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光纤线缆</w:t>
            </w:r>
          </w:p>
        </w:tc>
        <w:tc>
          <w:tcPr>
            <w:tcW w:w="580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24芯室外铠装单模光纤</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00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r>
      <w:tr>
        <w:tblPrEx>
          <w:tblCellMar>
            <w:top w:w="0" w:type="dxa"/>
            <w:left w:w="108" w:type="dxa"/>
            <w:bottom w:w="0" w:type="dxa"/>
            <w:right w:w="108" w:type="dxa"/>
          </w:tblCellMar>
        </w:tblPrEx>
        <w:trPr>
          <w:trHeight w:val="550"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尾纤</w:t>
            </w:r>
          </w:p>
        </w:tc>
        <w:tc>
          <w:tcPr>
            <w:tcW w:w="580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ascii="宋体" w:hAnsi="宋体" w:cs="宋体"/>
                <w:color w:val="000000"/>
                <w:kern w:val="0"/>
                <w:sz w:val="22"/>
              </w:rPr>
              <w:t>SC 1米单模</w:t>
            </w:r>
            <w:r>
              <w:rPr>
                <w:rFonts w:hint="eastAsia" w:ascii="宋体" w:hAnsi="宋体" w:cs="宋体"/>
                <w:color w:val="000000"/>
                <w:kern w:val="0"/>
                <w:sz w:val="22"/>
              </w:rPr>
              <w:t>品牌</w:t>
            </w:r>
            <w:r>
              <w:rPr>
                <w:rFonts w:ascii="宋体" w:hAnsi="宋体" w:cs="宋体"/>
                <w:color w:val="000000"/>
                <w:kern w:val="0"/>
                <w:sz w:val="22"/>
              </w:rPr>
              <w:t>尾纤</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r>
      <w:tr>
        <w:tblPrEx>
          <w:tblCellMar>
            <w:top w:w="0" w:type="dxa"/>
            <w:left w:w="108" w:type="dxa"/>
            <w:bottom w:w="0" w:type="dxa"/>
            <w:right w:w="108" w:type="dxa"/>
          </w:tblCellMar>
        </w:tblPrEx>
        <w:trPr>
          <w:trHeight w:val="357"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光纤跳线</w:t>
            </w:r>
          </w:p>
        </w:tc>
        <w:tc>
          <w:tcPr>
            <w:tcW w:w="580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2米品牌光纤跳线</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r>
      <w:tr>
        <w:tblPrEx>
          <w:tblCellMar>
            <w:top w:w="0" w:type="dxa"/>
            <w:left w:w="108" w:type="dxa"/>
            <w:bottom w:w="0" w:type="dxa"/>
            <w:right w:w="108" w:type="dxa"/>
          </w:tblCellMar>
        </w:tblPrEx>
        <w:trPr>
          <w:trHeight w:val="447"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光纤盒</w:t>
            </w:r>
          </w:p>
        </w:tc>
        <w:tc>
          <w:tcPr>
            <w:tcW w:w="580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lang w:val="zh-CN"/>
              </w:rPr>
            </w:pPr>
            <w:r>
              <w:rPr>
                <w:rFonts w:hint="eastAsia" w:ascii="宋体" w:hAnsi="宋体" w:cs="宋体"/>
                <w:color w:val="000000"/>
                <w:kern w:val="0"/>
                <w:sz w:val="22"/>
              </w:rPr>
              <w:t>光纤终端盒，</w:t>
            </w:r>
            <w:r>
              <w:rPr>
                <w:rFonts w:ascii="宋体" w:hAnsi="宋体" w:cs="宋体"/>
                <w:color w:val="000000"/>
                <w:kern w:val="0"/>
                <w:sz w:val="22"/>
                <w:lang w:val="zh-CN"/>
              </w:rPr>
              <w:t>SC单模</w:t>
            </w:r>
            <w:r>
              <w:rPr>
                <w:rFonts w:hint="eastAsia" w:ascii="宋体" w:hAnsi="宋体" w:cs="宋体"/>
                <w:color w:val="000000"/>
                <w:kern w:val="0"/>
                <w:sz w:val="22"/>
                <w:lang w:val="zh-CN"/>
              </w:rPr>
              <w:t>品牌</w:t>
            </w:r>
            <w:r>
              <w:rPr>
                <w:rFonts w:ascii="宋体" w:hAnsi="宋体" w:cs="宋体"/>
                <w:color w:val="000000"/>
                <w:kern w:val="0"/>
                <w:sz w:val="22"/>
                <w:lang w:val="zh-CN"/>
              </w:rPr>
              <w:t>适配器24个</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r>
      <w:tr>
        <w:tblPrEx>
          <w:tblCellMar>
            <w:top w:w="0" w:type="dxa"/>
            <w:left w:w="108" w:type="dxa"/>
            <w:bottom w:w="0" w:type="dxa"/>
            <w:right w:w="108" w:type="dxa"/>
          </w:tblCellMar>
        </w:tblPrEx>
        <w:trPr>
          <w:trHeight w:val="550"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光纤敷设</w:t>
            </w:r>
          </w:p>
        </w:tc>
        <w:tc>
          <w:tcPr>
            <w:tcW w:w="580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含放纤、熔纤、调测等</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r>
      <w:tr>
        <w:tblPrEx>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摄像头支架</w:t>
            </w:r>
          </w:p>
        </w:tc>
        <w:tc>
          <w:tcPr>
            <w:tcW w:w="580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摄像机壁装支架</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r>
      <w:tr>
        <w:tblPrEx>
          <w:tblCellMar>
            <w:top w:w="0" w:type="dxa"/>
            <w:left w:w="108" w:type="dxa"/>
            <w:bottom w:w="0" w:type="dxa"/>
            <w:right w:w="108" w:type="dxa"/>
          </w:tblCellMar>
        </w:tblPrEx>
        <w:trPr>
          <w:trHeight w:val="588"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安装辅材</w:t>
            </w:r>
          </w:p>
        </w:tc>
        <w:tc>
          <w:tcPr>
            <w:tcW w:w="580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管材、线槽、音视频线缆、转接头、摄像头支架等</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r>
      <w:tr>
        <w:tblPrEx>
          <w:tblCellMar>
            <w:top w:w="0" w:type="dxa"/>
            <w:left w:w="108" w:type="dxa"/>
            <w:bottom w:w="0" w:type="dxa"/>
            <w:right w:w="108" w:type="dxa"/>
          </w:tblCellMar>
        </w:tblPrEx>
        <w:trPr>
          <w:trHeight w:val="550"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集成服务</w:t>
            </w:r>
          </w:p>
        </w:tc>
        <w:tc>
          <w:tcPr>
            <w:tcW w:w="580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防火墙接入、视频会议设备安装部署调试、音视频集成等</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r>
    </w:tbl>
    <w:p>
      <w:pPr>
        <w:spacing w:line="360" w:lineRule="auto"/>
      </w:pPr>
      <w:r>
        <w:rPr>
          <w:rFonts w:ascii="宋体" w:hAnsi="宋体"/>
          <w:b/>
          <w:bCs/>
          <w:color w:val="FF0000"/>
          <w:sz w:val="24"/>
          <w:szCs w:val="28"/>
        </w:rPr>
        <w:t>注</w:t>
      </w:r>
      <w:r>
        <w:rPr>
          <w:rFonts w:hint="eastAsia" w:ascii="宋体" w:hAnsi="宋体"/>
          <w:b/>
          <w:bCs/>
          <w:color w:val="FF0000"/>
          <w:sz w:val="24"/>
          <w:szCs w:val="28"/>
        </w:rPr>
        <w:t>：本次采购的视频会议终端设备要与江苏省交通厅视频会议系统进行对接，现省交通运输厅视频会议使用设备（m</w:t>
      </w:r>
      <w:r>
        <w:rPr>
          <w:rFonts w:ascii="宋体" w:hAnsi="宋体"/>
          <w:b/>
          <w:bCs/>
          <w:color w:val="FF0000"/>
          <w:sz w:val="24"/>
          <w:szCs w:val="28"/>
        </w:rPr>
        <w:t>cu</w:t>
      </w:r>
      <w:r>
        <w:rPr>
          <w:rFonts w:hint="eastAsia" w:ascii="宋体" w:hAnsi="宋体"/>
          <w:b/>
          <w:bCs/>
          <w:color w:val="FF0000"/>
          <w:sz w:val="24"/>
          <w:szCs w:val="28"/>
        </w:rPr>
        <w:t>）为宝利通g</w:t>
      </w:r>
      <w:r>
        <w:rPr>
          <w:rFonts w:ascii="宋体" w:hAnsi="宋体"/>
          <w:b/>
          <w:bCs/>
          <w:color w:val="FF0000"/>
          <w:sz w:val="24"/>
          <w:szCs w:val="28"/>
        </w:rPr>
        <w:t>roup550,为保证视频会议的兼容性</w:t>
      </w:r>
      <w:r>
        <w:rPr>
          <w:rFonts w:hint="eastAsia" w:ascii="宋体" w:hAnsi="宋体"/>
          <w:b/>
          <w:bCs/>
          <w:color w:val="FF0000"/>
          <w:sz w:val="24"/>
          <w:szCs w:val="28"/>
        </w:rPr>
        <w:t>、</w:t>
      </w:r>
      <w:r>
        <w:rPr>
          <w:rFonts w:ascii="宋体" w:hAnsi="宋体"/>
          <w:b/>
          <w:bCs/>
          <w:color w:val="FF0000"/>
          <w:sz w:val="24"/>
          <w:szCs w:val="28"/>
        </w:rPr>
        <w:t>稳定性</w:t>
      </w:r>
      <w:r>
        <w:rPr>
          <w:rFonts w:hint="eastAsia" w:ascii="宋体" w:hAnsi="宋体"/>
          <w:b/>
          <w:bCs/>
          <w:color w:val="FF0000"/>
          <w:sz w:val="24"/>
          <w:szCs w:val="28"/>
        </w:rPr>
        <w:t>，投标单位如投</w:t>
      </w:r>
      <w:r>
        <w:rPr>
          <w:rFonts w:ascii="宋体" w:hAnsi="宋体"/>
          <w:b/>
          <w:bCs/>
          <w:color w:val="FF0000"/>
          <w:sz w:val="24"/>
          <w:szCs w:val="28"/>
        </w:rPr>
        <w:t>不同品牌的产品</w:t>
      </w:r>
      <w:r>
        <w:rPr>
          <w:rFonts w:hint="eastAsia" w:ascii="宋体" w:hAnsi="宋体"/>
          <w:b/>
          <w:bCs/>
          <w:color w:val="FF0000"/>
          <w:sz w:val="24"/>
          <w:szCs w:val="28"/>
        </w:rPr>
        <w:t>，</w:t>
      </w:r>
      <w:r>
        <w:rPr>
          <w:rFonts w:ascii="宋体" w:hAnsi="宋体"/>
          <w:b/>
          <w:bCs/>
          <w:color w:val="FF0000"/>
          <w:sz w:val="24"/>
          <w:szCs w:val="28"/>
        </w:rPr>
        <w:t>需提供</w:t>
      </w:r>
      <w:r>
        <w:rPr>
          <w:rFonts w:hint="eastAsia" w:ascii="宋体" w:hAnsi="宋体"/>
          <w:b/>
          <w:bCs/>
          <w:color w:val="FF0000"/>
          <w:sz w:val="24"/>
          <w:szCs w:val="28"/>
        </w:rPr>
        <w:t>之前</w:t>
      </w:r>
      <w:r>
        <w:rPr>
          <w:rFonts w:ascii="宋体" w:hAnsi="宋体"/>
          <w:b/>
          <w:bCs/>
          <w:color w:val="FF0000"/>
          <w:sz w:val="24"/>
          <w:szCs w:val="28"/>
        </w:rPr>
        <w:t>与省交通运输厅成功稳定对接案例或</w:t>
      </w:r>
      <w:r>
        <w:rPr>
          <w:rFonts w:hint="eastAsia" w:ascii="宋体" w:hAnsi="宋体"/>
          <w:b/>
          <w:bCs/>
          <w:color w:val="FF0000"/>
          <w:sz w:val="24"/>
          <w:szCs w:val="28"/>
        </w:rPr>
        <w:t>提供可与江苏省交通厅现有视频会议系统无缝接入的承诺函，并加盖公章。</w:t>
      </w:r>
    </w:p>
    <w:p>
      <w:pPr>
        <w:pStyle w:val="6"/>
        <w:rPr>
          <w:rFonts w:ascii="宋体" w:hAnsi="宋体"/>
          <w:bCs w:val="0"/>
          <w:sz w:val="24"/>
          <w:szCs w:val="24"/>
        </w:rPr>
      </w:pPr>
      <w:r>
        <w:rPr>
          <w:rFonts w:hint="eastAsia" w:ascii="宋体" w:hAnsi="宋体"/>
          <w:bCs w:val="0"/>
          <w:sz w:val="24"/>
          <w:szCs w:val="24"/>
        </w:rPr>
        <w:t>功能参数要求</w:t>
      </w:r>
    </w:p>
    <w:p>
      <w:pPr>
        <w:spacing w:line="480" w:lineRule="auto"/>
        <w:rPr>
          <w:rFonts w:ascii="宋体" w:hAnsi="宋体" w:cs="宋体"/>
          <w:b/>
          <w:bCs/>
          <w:color w:val="000000"/>
          <w:kern w:val="0"/>
          <w:sz w:val="28"/>
          <w:szCs w:val="28"/>
        </w:rPr>
      </w:pPr>
      <w:r>
        <w:rPr>
          <w:rFonts w:hint="eastAsia" w:ascii="宋体" w:hAnsi="宋体" w:cs="宋体"/>
          <w:b/>
          <w:bCs/>
          <w:color w:val="000000"/>
          <w:kern w:val="0"/>
          <w:sz w:val="28"/>
          <w:szCs w:val="28"/>
        </w:rPr>
        <w:t>1.视频会议终端套装</w:t>
      </w:r>
    </w:p>
    <w:tbl>
      <w:tblPr>
        <w:tblStyle w:val="30"/>
        <w:tblW w:w="9356" w:type="dxa"/>
        <w:tblInd w:w="108" w:type="dxa"/>
        <w:tblLayout w:type="autofit"/>
        <w:tblCellMar>
          <w:top w:w="0" w:type="dxa"/>
          <w:left w:w="108" w:type="dxa"/>
          <w:bottom w:w="0" w:type="dxa"/>
          <w:right w:w="108" w:type="dxa"/>
        </w:tblCellMar>
      </w:tblPr>
      <w:tblGrid>
        <w:gridCol w:w="709"/>
        <w:gridCol w:w="8647"/>
      </w:tblGrid>
      <w:tr>
        <w:tblPrEx>
          <w:tblCellMar>
            <w:top w:w="0" w:type="dxa"/>
            <w:left w:w="108" w:type="dxa"/>
            <w:bottom w:w="0" w:type="dxa"/>
            <w:right w:w="108" w:type="dxa"/>
          </w:tblCellMar>
        </w:tblPrEx>
        <w:trPr>
          <w:trHeight w:val="28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序号</w:t>
            </w:r>
          </w:p>
        </w:tc>
        <w:tc>
          <w:tcPr>
            <w:tcW w:w="86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详细要求</w:t>
            </w:r>
          </w:p>
        </w:tc>
      </w:tr>
      <w:tr>
        <w:tblPrEx>
          <w:tblCellMar>
            <w:top w:w="0" w:type="dxa"/>
            <w:left w:w="108" w:type="dxa"/>
            <w:bottom w:w="0" w:type="dxa"/>
            <w:right w:w="108" w:type="dxa"/>
          </w:tblCellMar>
        </w:tblPrEx>
        <w:trPr>
          <w:trHeight w:val="477"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分体式硬件终端，要求采用嵌入式操作系统，非PC架构，非工控机架构。</w:t>
            </w:r>
          </w:p>
        </w:tc>
      </w:tr>
      <w:tr>
        <w:tblPrEx>
          <w:tblCellMar>
            <w:top w:w="0" w:type="dxa"/>
            <w:left w:w="108" w:type="dxa"/>
            <w:bottom w:w="0" w:type="dxa"/>
            <w:right w:w="108" w:type="dxa"/>
          </w:tblCellMar>
        </w:tblPrEx>
        <w:trPr>
          <w:trHeight w:val="41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支持H.323/SIP协议标准。同时支持IPV4和IPV6协议栈。</w:t>
            </w:r>
          </w:p>
        </w:tc>
      </w:tr>
      <w:tr>
        <w:tblPrEx>
          <w:tblCellMar>
            <w:top w:w="0" w:type="dxa"/>
            <w:left w:w="108" w:type="dxa"/>
            <w:bottom w:w="0" w:type="dxa"/>
            <w:right w:w="108" w:type="dxa"/>
          </w:tblCellMar>
        </w:tblPrEx>
        <w:trPr>
          <w:trHeight w:val="83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视频支持H.264、H.264High Profile、H.264SVC图像编码协议，图像格式具备1080P60帧、720P50/ 60帧、720P25/30帧。</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音频支持G.711、G.722、G.722.1、G.722.1C、G.728、G.719、G.729A系列，支持双声道立体声功能。</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支持标准H.239和BFCP双流协议，在主流1080P60帧的情况下，辅流具备1080P30帧。</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提供至少4路高清视频输入、至少4路高清视频输出接口，支持不少于以下接口：HDMI、VGA、3G-SDI。</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具备3G-SDI输入/输出接口，高清终端和摄像机或矩阵之间可以达到100米的传输距离信号无明显衰减，方便大型会议室摄像机远距离布置。</w:t>
            </w:r>
          </w:p>
        </w:tc>
      </w:tr>
      <w:tr>
        <w:tblPrEx>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简"/>
                <w:kern w:val="0"/>
                <w:szCs w:val="21"/>
              </w:rPr>
              <w:t>★</w:t>
            </w:r>
            <w:r>
              <w:rPr>
                <w:rFonts w:hint="eastAsia" w:ascii="宋体" w:hAnsi="宋体" w:cs="宋体"/>
                <w:color w:val="000000"/>
                <w:kern w:val="0"/>
                <w:sz w:val="22"/>
              </w:rPr>
              <w:t>终端具备视频和音频丢包恢复技术，最高支持20%丢包范围内图像不受影响。最高支持70%丢包范围内声音连续清晰。</w:t>
            </w:r>
            <w:r>
              <w:rPr>
                <w:rFonts w:hint="eastAsia" w:ascii="宋体" w:hAnsi="宋体" w:cs="宋体"/>
                <w:b/>
                <w:color w:val="000000"/>
                <w:kern w:val="0"/>
                <w:sz w:val="22"/>
              </w:rPr>
              <w:t>（投标时需提供国家级数据通信产品质量监督检验中心检验报告）</w:t>
            </w:r>
            <w:r>
              <w:rPr>
                <w:rFonts w:hint="eastAsia" w:ascii="宋体" w:hAnsi="宋体" w:cs="宋体"/>
                <w:color w:val="000000"/>
                <w:kern w:val="0"/>
                <w:sz w:val="22"/>
              </w:rPr>
              <w:t>。</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标配同品牌数字阵列麦克风，支持360度全向拾音，最大拾音距离达到5米。</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简"/>
                <w:kern w:val="0"/>
                <w:szCs w:val="21"/>
              </w:rPr>
              <w:t>★</w:t>
            </w:r>
            <w:r>
              <w:rPr>
                <w:rFonts w:hint="eastAsia" w:ascii="宋体" w:hAnsi="宋体" w:cs="宋体"/>
                <w:color w:val="000000"/>
                <w:kern w:val="0"/>
                <w:sz w:val="22"/>
              </w:rPr>
              <w:t>具备终端断线保持能力，在会议中，终端拔掉网线，在40秒内恢复网线，10秒内终端自动恢复会议。</w:t>
            </w:r>
            <w:r>
              <w:rPr>
                <w:rFonts w:hint="eastAsia" w:ascii="宋体" w:hAnsi="宋体" w:cs="宋体"/>
                <w:b/>
                <w:color w:val="000000"/>
                <w:kern w:val="0"/>
                <w:sz w:val="22"/>
              </w:rPr>
              <w:t>（投标时需提供国家级数据通信产品质量监督检验中心检验报告）</w:t>
            </w:r>
            <w:r>
              <w:rPr>
                <w:rFonts w:hint="eastAsia" w:ascii="宋体" w:hAnsi="宋体" w:cs="宋体"/>
                <w:color w:val="000000"/>
                <w:kern w:val="0"/>
                <w:sz w:val="22"/>
              </w:rPr>
              <w:t>。</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终端需具备强大的内置处理能力，支持内置6点MCU处理功能。</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全中文图形化界面，支持遥控器中文输入，应具有基本的维护检测功能，本端音频自环、视频自环、远端环回、事件日志、远端升级维护等功能。</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遥控器使用节能环保设计，具备锂电池充电功能，可反复利用，方便操作使用。</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标配同一品牌高清摄像机，支持12倍光学变焦，支持至少1080P60帧/秒以上的图像拍摄能力。</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发送双流可以通过多种交互能力，进行对双流内容进行实时批注，参与双方都可以进行交互批注，批注内容可以通过U盘保存查看。</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具备噪声消除模块，可消除各类非人声噪声。具备噪声屏蔽模块，可屏蔽最常见键盘噪声。支持扩展麦克风，形成主席台特定区域音频拾音，在非特定区域形成音频墙。</w:t>
            </w:r>
          </w:p>
        </w:tc>
      </w:tr>
      <w:tr>
        <w:tblPrEx>
          <w:tblCellMar>
            <w:top w:w="0" w:type="dxa"/>
            <w:left w:w="108" w:type="dxa"/>
            <w:bottom w:w="0" w:type="dxa"/>
            <w:right w:w="108" w:type="dxa"/>
          </w:tblCellMar>
        </w:tblPrEx>
        <w:trPr>
          <w:trHeight w:val="28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8647"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rPr>
            </w:pPr>
            <w:r>
              <w:rPr>
                <w:rFonts w:hint="eastAsia" w:ascii="宋体" w:hAnsi="宋体" w:cs="宋体-简"/>
                <w:kern w:val="0"/>
                <w:szCs w:val="21"/>
              </w:rPr>
              <w:t>★</w:t>
            </w:r>
            <w:r>
              <w:rPr>
                <w:rFonts w:hint="eastAsia" w:ascii="宋体" w:hAnsi="宋体" w:cs="宋体"/>
                <w:b/>
                <w:color w:val="000000"/>
                <w:kern w:val="0"/>
                <w:sz w:val="22"/>
              </w:rPr>
              <w:t>投标时需提供设备3C、入网许可证书和原厂商针对此项目设备的三年原厂售后服务承诺函。</w:t>
            </w:r>
          </w:p>
        </w:tc>
      </w:tr>
    </w:tbl>
    <w:p>
      <w:pPr>
        <w:spacing w:line="480" w:lineRule="auto"/>
        <w:rPr>
          <w:rFonts w:ascii="宋体" w:hAnsi="宋体" w:cs="宋体"/>
          <w:b/>
          <w:bCs/>
          <w:color w:val="000000"/>
          <w:kern w:val="0"/>
          <w:sz w:val="28"/>
          <w:szCs w:val="28"/>
        </w:rPr>
      </w:pPr>
      <w:r>
        <w:rPr>
          <w:rFonts w:hint="eastAsia" w:ascii="宋体" w:hAnsi="宋体" w:cs="宋体"/>
          <w:b/>
          <w:bCs/>
          <w:color w:val="000000"/>
          <w:kern w:val="0"/>
          <w:sz w:val="28"/>
          <w:szCs w:val="28"/>
        </w:rPr>
        <w:t>2</w:t>
      </w:r>
      <w:r>
        <w:rPr>
          <w:rFonts w:ascii="宋体" w:hAnsi="宋体" w:cs="宋体"/>
          <w:b/>
          <w:bCs/>
          <w:color w:val="000000"/>
          <w:kern w:val="0"/>
          <w:sz w:val="28"/>
          <w:szCs w:val="28"/>
        </w:rPr>
        <w:t>.</w:t>
      </w:r>
      <w:r>
        <w:rPr>
          <w:rFonts w:hint="eastAsia" w:ascii="宋体" w:hAnsi="宋体" w:cs="宋体"/>
          <w:b/>
          <w:bCs/>
          <w:color w:val="000000"/>
          <w:kern w:val="0"/>
          <w:sz w:val="28"/>
          <w:szCs w:val="28"/>
        </w:rPr>
        <w:t>视频会议摄像头</w:t>
      </w:r>
    </w:p>
    <w:tbl>
      <w:tblPr>
        <w:tblStyle w:val="30"/>
        <w:tblW w:w="9351" w:type="dxa"/>
        <w:jc w:val="center"/>
        <w:tblLayout w:type="autofit"/>
        <w:tblCellMar>
          <w:top w:w="0" w:type="dxa"/>
          <w:left w:w="108" w:type="dxa"/>
          <w:bottom w:w="0" w:type="dxa"/>
          <w:right w:w="108" w:type="dxa"/>
        </w:tblCellMar>
      </w:tblPr>
      <w:tblGrid>
        <w:gridCol w:w="1196"/>
        <w:gridCol w:w="8155"/>
      </w:tblGrid>
      <w:tr>
        <w:tblPrEx>
          <w:tblCellMar>
            <w:top w:w="0" w:type="dxa"/>
            <w:left w:w="108" w:type="dxa"/>
            <w:bottom w:w="0" w:type="dxa"/>
            <w:right w:w="108" w:type="dxa"/>
          </w:tblCellMar>
        </w:tblPrEx>
        <w:trPr>
          <w:trHeight w:val="293"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8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详细要求</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与视频会议终端同品牌，非OEM贴牌。</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摄像头类型:1/2.33 英寸 CMOS</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H/V分辨率:1920 x 1080</w:t>
            </w:r>
          </w:p>
        </w:tc>
      </w:tr>
      <w:tr>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输出: SMPTE 296M 1280 x 720p60、SMPTE 274M 1920 x 1080p、60/50</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镜头焦距：f = 3.76-37.6 毫米</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变焦能力： 12 倍光学变焦</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对焦：自动</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水平视场角：65°、85°（具有广角适配器）</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垂直视场角：39°</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最小照度：50 lux</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接触量：自动光圈，AGC</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SNR：50 dB</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平移范围：+/-100°</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倾斜范围：+20/-30°</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遥控：红外遥控。</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功耗：12 v @&lt;1.2A power</w:t>
            </w:r>
          </w:p>
        </w:tc>
      </w:tr>
      <w:tr>
        <w:tblPrEx>
          <w:tblCellMar>
            <w:top w:w="0" w:type="dxa"/>
            <w:left w:w="108" w:type="dxa"/>
            <w:bottom w:w="0" w:type="dxa"/>
            <w:right w:w="108" w:type="dxa"/>
          </w:tblCellMar>
        </w:tblPrEx>
        <w:trPr>
          <w:trHeight w:val="293" w:hRule="atLeast"/>
          <w:jc w:val="center"/>
        </w:trPr>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8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供电：一体式供电，电源线与信号线同一根，避免重复布线。</w:t>
            </w:r>
          </w:p>
        </w:tc>
      </w:tr>
    </w:tbl>
    <w:p>
      <w:pPr>
        <w:spacing w:line="480" w:lineRule="auto"/>
        <w:ind w:left="777"/>
        <w:rPr>
          <w:rFonts w:ascii="宋体" w:hAnsi="宋体"/>
          <w:sz w:val="28"/>
          <w:szCs w:val="28"/>
        </w:rPr>
      </w:pPr>
    </w:p>
    <w:p>
      <w:pPr>
        <w:widowControl/>
        <w:jc w:val="left"/>
        <w:rPr>
          <w:rFonts w:ascii="宋体" w:hAnsi="宋体" w:cs="宋体"/>
          <w:b/>
          <w:bCs/>
          <w:color w:val="000000"/>
          <w:kern w:val="0"/>
          <w:sz w:val="28"/>
          <w:szCs w:val="28"/>
        </w:rPr>
      </w:pPr>
      <w:r>
        <w:rPr>
          <w:rFonts w:ascii="宋体" w:hAnsi="宋体" w:cs="宋体"/>
          <w:b/>
          <w:bCs/>
          <w:color w:val="000000"/>
          <w:kern w:val="0"/>
          <w:sz w:val="28"/>
          <w:szCs w:val="28"/>
        </w:rPr>
        <w:t>3</w:t>
      </w:r>
      <w:r>
        <w:rPr>
          <w:rFonts w:hint="eastAsia" w:ascii="宋体" w:hAnsi="宋体" w:cs="宋体"/>
          <w:b/>
          <w:bCs/>
          <w:color w:val="000000"/>
          <w:kern w:val="0"/>
          <w:sz w:val="28"/>
          <w:szCs w:val="28"/>
        </w:rPr>
        <w:t>. 视频会议专线接入防火墙</w:t>
      </w:r>
    </w:p>
    <w:tbl>
      <w:tblPr>
        <w:tblStyle w:val="3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简"/>
                <w:color w:val="000000"/>
                <w:kern w:val="0"/>
                <w:sz w:val="22"/>
              </w:rPr>
            </w:pPr>
            <w:r>
              <w:rPr>
                <w:rFonts w:hint="eastAsia" w:ascii="宋体" w:hAnsi="宋体" w:cs="宋体-简"/>
                <w:color w:val="000000"/>
                <w:kern w:val="0"/>
                <w:sz w:val="22"/>
              </w:rPr>
              <w:t>指标项</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简"/>
                <w:color w:val="000000"/>
                <w:kern w:val="0"/>
                <w:sz w:val="22"/>
              </w:rPr>
            </w:pPr>
            <w:r>
              <w:rPr>
                <w:rFonts w:hint="eastAsia" w:ascii="宋体" w:hAnsi="宋体" w:cs="宋体-简"/>
                <w:color w:val="000000"/>
                <w:kern w:val="0"/>
                <w:sz w:val="22"/>
              </w:rPr>
              <w:t>详细功能项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性能及接口</w:t>
            </w:r>
          </w:p>
        </w:tc>
        <w:tc>
          <w:tcPr>
            <w:tcW w:w="8272" w:type="dxa"/>
            <w:tcBorders>
              <w:top w:val="single" w:color="auto" w:sz="4" w:space="0"/>
              <w:left w:val="single" w:color="auto" w:sz="4" w:space="0"/>
              <w:bottom w:val="single" w:color="auto" w:sz="4" w:space="0"/>
              <w:right w:val="single" w:color="auto" w:sz="4" w:space="0"/>
            </w:tcBorders>
          </w:tcPr>
          <w:p>
            <w:pPr>
              <w:widowControl/>
              <w:rPr>
                <w:rFonts w:ascii="宋体" w:hAnsi="宋体" w:cs="宋体-简"/>
                <w:kern w:val="0"/>
                <w:sz w:val="22"/>
              </w:rPr>
            </w:pPr>
            <w:r>
              <w:rPr>
                <w:rFonts w:hint="eastAsia" w:ascii="宋体" w:hAnsi="宋体" w:cs="宋体-简"/>
                <w:kern w:val="0"/>
                <w:sz w:val="22"/>
              </w:rPr>
              <w:t>多核架构，三层吞吐量≥4G，应用层吞吐量≥1G，并发连接数≥100万，每秒新建连接≥2万/秒，千兆电口≥6个，千兆光口≥2个，1U标准架构，单电源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简"/>
                <w:color w:val="000000"/>
                <w:kern w:val="0"/>
                <w:sz w:val="22"/>
              </w:rPr>
            </w:pPr>
            <w:r>
              <w:rPr>
                <w:rFonts w:hint="eastAsia" w:ascii="宋体" w:hAnsi="宋体" w:cs="宋体-简"/>
                <w:color w:val="000000"/>
                <w:kern w:val="0"/>
                <w:sz w:val="22"/>
              </w:rPr>
              <w:t>部署方式</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支持路由，网桥，单臂，旁路，虚拟网线以及混合部署方式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网络特性</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支持802.1Q VLAN Trunk、access接口，VLAN三层接口，子接口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支持链路聚合功能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支持端口联动功能，当上行/下行端口链路出现故障时，对应的另一端下行/上行端口自动切断链路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kern w:val="0"/>
                <w:sz w:val="22"/>
              </w:rPr>
              <w:t>支持IPV6环境部署，包括接口/区域配置、路由配置等网络适应性功能，支持核心常用安全功能，包括僵尸网络，IPS漏洞防御，WEB应用防护等，支持协议一致性（包括但不限于Core、NDP、Autoconfig、PMTU、ICMPV6）和协议健壮性检测（IPv6畸形报文、ICMPv6畸形报文、其他协议畸形报文），支持IPV6的地址转换、双栈的过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路由支持</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支持静态路由，ECMP等价路由以及RIPv1/v2，OSPFv2/v3，BGP等动态路由协议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kern w:val="0"/>
                <w:sz w:val="22"/>
              </w:rPr>
              <w:t>★</w:t>
            </w:r>
            <w:r>
              <w:rPr>
                <w:rFonts w:hint="eastAsia" w:ascii="宋体" w:hAnsi="宋体" w:cs="宋体-简"/>
                <w:color w:val="000000"/>
                <w:kern w:val="0"/>
                <w:sz w:val="22"/>
              </w:rPr>
              <w:t>支持多链路出站负载，支持基于源/目的IP、源/目的端口、协议、应用类型以及国家地域来进行选路的策略路由选路功能</w:t>
            </w:r>
            <w:r>
              <w:rPr>
                <w:rFonts w:hint="eastAsia" w:ascii="宋体" w:hAnsi="宋体" w:cs="宋体-简"/>
                <w:b/>
                <w:color w:val="000000"/>
                <w:kern w:val="0"/>
                <w:sz w:val="22"/>
              </w:rPr>
              <w:t>（投标时需提供加盖原厂公章的相关功能截图证明）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基础功能</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支持连接会话展示，可针对具体的IP地址进行会话详情查询，支持封锁异常会话信息，并支持设置监听具体IP的会话记录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★访问控制规则支持数据模拟匹配，输入源目的IP、端口、协议五元组信息，模拟策略匹配方式，给出最可能的匹配结果，方便排查故障，或环境部署前的调试</w:t>
            </w:r>
            <w:r>
              <w:rPr>
                <w:rFonts w:hint="eastAsia" w:ascii="宋体" w:hAnsi="宋体" w:cs="宋体-简"/>
                <w:b/>
                <w:color w:val="000000"/>
                <w:kern w:val="0"/>
                <w:sz w:val="22"/>
              </w:rPr>
              <w:t>（投标时需提供加盖原厂公章的相关功能截图证明）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★支持根据国家/地区来进行地域访问控制</w:t>
            </w:r>
            <w:r>
              <w:rPr>
                <w:rFonts w:hint="eastAsia" w:ascii="宋体" w:hAnsi="宋体" w:cs="宋体-简"/>
                <w:b/>
                <w:color w:val="000000"/>
                <w:kern w:val="0"/>
                <w:sz w:val="22"/>
              </w:rPr>
              <w:t>（投标时需提供加盖原厂公章的相关功能截图证明）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★支持基于对象、区域和地域维度设置安全访问控制策略，允许或拒绝特定国家或者地区的对象访问内部网络，保障业务重大时期安全可靠性。</w:t>
            </w:r>
            <w:r>
              <w:rPr>
                <w:rFonts w:hint="eastAsia" w:ascii="宋体" w:hAnsi="宋体" w:cs="宋体-简"/>
                <w:b/>
                <w:color w:val="000000"/>
                <w:kern w:val="0"/>
                <w:sz w:val="22"/>
              </w:rPr>
              <w:t>（投标时需提供加盖原厂公章的产品功能截图证明）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kern w:val="0"/>
                <w:sz w:val="22"/>
              </w:rPr>
              <w:t>★支持基于应用类型，网站类型，文件类型进行流量控制，支持基于IP段、时间、国家/地区、认证用户、子接口和VLAN进行流量控制；</w:t>
            </w:r>
            <w:r>
              <w:rPr>
                <w:rFonts w:hint="eastAsia" w:ascii="宋体" w:hAnsi="宋体" w:cs="宋体-简"/>
                <w:b/>
                <w:kern w:val="0"/>
                <w:sz w:val="22"/>
              </w:rPr>
              <w:t>（投标时需提供</w:t>
            </w:r>
            <w:r>
              <w:rPr>
                <w:rFonts w:hint="eastAsia" w:ascii="宋体" w:hAnsi="宋体" w:cs="宋体-简"/>
                <w:b/>
                <w:color w:val="000000"/>
                <w:kern w:val="0"/>
                <w:sz w:val="22"/>
              </w:rPr>
              <w:t>加盖原厂公章的</w:t>
            </w:r>
            <w:r>
              <w:rPr>
                <w:rFonts w:hint="eastAsia" w:ascii="宋体" w:hAnsi="宋体" w:cs="宋体-简"/>
                <w:b/>
                <w:kern w:val="0"/>
                <w:sz w:val="22"/>
              </w:rPr>
              <w:t>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DoS/DDoS攻击防护</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支持SYN Flood、ICMP Flood、UDP Flood、DNS Flood、ARP Flood等泛洪类攻击防护，支持IP地址扫描和端口扫描攻击防护。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支持TearDrop 攻击、IP数据块分片传输、Land攻击、Smurf攻击、WinNuke攻击、超大ICMP数据攻击等异常报文攻击防护，支持IP协议异常报文和TCP协议异常报文攻击防护。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入侵防护功能</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产品内置IPS检测引擎，支持口令暴力破解、僵尸网络、恶意软件、服务器与终端漏洞攻击等检测和防护，支持超过7000种特征规则。</w:t>
            </w:r>
            <w:r>
              <w:rPr>
                <w:rFonts w:hint="eastAsia" w:ascii="宋体" w:hAnsi="宋体" w:cs="宋体-简"/>
                <w:b/>
                <w:color w:val="000000"/>
                <w:kern w:val="0"/>
                <w:sz w:val="22"/>
              </w:rPr>
              <w:t>（投标时需提供加盖原厂公章的产品功能截图证明）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支持对常见应用服务（HTTP、FTP、SSH、SMTP、IMAP、POP3、 RDP、Rlogin、SMB、Telne、Weblogic、VNC）和数据库软件（MySQL、Oracle、MSSQL）的口令暴力破解防护功能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★具备僵尸网络检测功能，可基于僵尸网络检测引擎发现主机的异常外联行为，并提供威胁等级和非法外联次数作为举证。</w:t>
            </w:r>
            <w:r>
              <w:rPr>
                <w:rFonts w:hint="eastAsia" w:ascii="宋体" w:hAnsi="宋体" w:cs="宋体-简"/>
                <w:b/>
                <w:color w:val="000000"/>
                <w:kern w:val="0"/>
                <w:sz w:val="22"/>
              </w:rPr>
              <w:t>（投标时需提供加盖原厂公章的产品功能截图证明）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具备防护常见网络协议（SSH、FTP、RDP、VNC、Netbios）和数据库（MySQL、Oracle、MSSQL）的弱密码扫描功能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简"/>
                <w:color w:val="000000"/>
                <w:kern w:val="0"/>
                <w:sz w:val="22"/>
              </w:rPr>
            </w:pPr>
            <w:r>
              <w:rPr>
                <w:rFonts w:hint="eastAsia" w:ascii="宋体" w:hAnsi="宋体" w:cs="宋体-简"/>
                <w:color w:val="000000"/>
                <w:kern w:val="0"/>
                <w:sz w:val="22"/>
              </w:rPr>
              <w:t>安全策略管理</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简"/>
                <w:color w:val="000000"/>
                <w:kern w:val="0"/>
                <w:sz w:val="22"/>
              </w:rPr>
              <w:t>支持针对业务攻击事件汇总，展示攻击事件类型TOP5及当前业务命中的全网实时热点事件，支持通过地图区域颜色深浅展示攻击者的分布与数量。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★支持应用控制策略生命周期管理，包含安全策略的变更时间、变更类型和策略变更用户，并对变更内容记录日志，方便策略的管理和运维。</w:t>
            </w:r>
            <w:r>
              <w:rPr>
                <w:rFonts w:hint="eastAsia" w:ascii="宋体" w:hAnsi="宋体" w:cs="宋体-简"/>
                <w:b/>
                <w:color w:val="000000"/>
                <w:kern w:val="0"/>
                <w:sz w:val="22"/>
              </w:rPr>
              <w:t>（投标时需提供加盖原厂公章的相关功能截图证明）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安全可视化</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★支持资产的自动发现以及资产脆弱性和服务器开放端口的自动识别</w:t>
            </w:r>
            <w:r>
              <w:rPr>
                <w:rFonts w:hint="eastAsia" w:ascii="宋体" w:hAnsi="宋体" w:cs="宋体-简"/>
                <w:b/>
                <w:color w:val="000000"/>
                <w:kern w:val="0"/>
                <w:sz w:val="22"/>
              </w:rPr>
              <w:t>（投标时需提供加盖原厂公章的相关功能截图证明）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r>
              <w:rPr>
                <w:rFonts w:hint="eastAsia" w:ascii="宋体" w:hAnsi="宋体" w:cs="宋体-简"/>
                <w:b/>
                <w:kern w:val="0"/>
                <w:sz w:val="22"/>
              </w:rPr>
              <w:t>（</w:t>
            </w:r>
            <w:r>
              <w:rPr>
                <w:rFonts w:hint="eastAsia" w:ascii="宋体" w:hAnsi="宋体" w:cs="宋体-简"/>
                <w:b/>
                <w:color w:val="000000"/>
                <w:kern w:val="0"/>
                <w:sz w:val="22"/>
              </w:rPr>
              <w:t>投标时</w:t>
            </w:r>
            <w:r>
              <w:rPr>
                <w:rFonts w:hint="eastAsia" w:ascii="宋体" w:hAnsi="宋体" w:cs="宋体-简"/>
                <w:b/>
                <w:kern w:val="0"/>
                <w:sz w:val="22"/>
              </w:rPr>
              <w:t>需提供</w:t>
            </w:r>
            <w:r>
              <w:rPr>
                <w:rFonts w:hint="eastAsia" w:ascii="宋体" w:hAnsi="宋体" w:cs="宋体-简"/>
                <w:b/>
                <w:color w:val="000000"/>
                <w:kern w:val="0"/>
                <w:sz w:val="22"/>
              </w:rPr>
              <w:t>加盖原厂公章的</w:t>
            </w:r>
            <w:r>
              <w:rPr>
                <w:rFonts w:hint="eastAsia" w:ascii="宋体" w:hAnsi="宋体" w:cs="宋体-简"/>
                <w:b/>
                <w:kern w:val="0"/>
                <w:sz w:val="22"/>
              </w:rPr>
              <w:t>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kern w:val="0"/>
                <w:sz w:val="22"/>
              </w:rPr>
              <w:t>支持三权分立功能，根据用户权限分为安全管理员、审计员、系统管理员三种角色；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支持自动生成安全风险报表，报表内容体现被保护对象的整体安全等级，发现漏洞情况以及遭受到攻击的漏洞统计，具备有效攻击行为次数统计和攻击举证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简"/>
                <w:color w:val="000000"/>
                <w:kern w:val="0"/>
                <w:sz w:val="22"/>
              </w:rPr>
            </w:pPr>
            <w:r>
              <w:rPr>
                <w:rFonts w:hint="eastAsia" w:ascii="宋体" w:hAnsi="宋体" w:cs="宋体-简"/>
                <w:color w:val="000000"/>
                <w:kern w:val="0"/>
                <w:sz w:val="22"/>
              </w:rPr>
              <w:t>相关资质</w:t>
            </w: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b/>
                <w:color w:val="000000"/>
                <w:kern w:val="0"/>
                <w:sz w:val="22"/>
              </w:rPr>
            </w:pPr>
            <w:r>
              <w:rPr>
                <w:rFonts w:hint="eastAsia" w:ascii="宋体" w:hAnsi="宋体" w:cs="宋体-简"/>
                <w:kern w:val="0"/>
                <w:sz w:val="22"/>
              </w:rPr>
              <w:t>★</w:t>
            </w:r>
            <w:r>
              <w:rPr>
                <w:rFonts w:hint="eastAsia" w:ascii="宋体" w:hAnsi="宋体" w:cs="宋体-简"/>
                <w:b/>
                <w:color w:val="000000"/>
                <w:kern w:val="0"/>
                <w:sz w:val="22"/>
              </w:rPr>
              <w:t>厂商软件研发实力需通过CMMI L5认证</w:t>
            </w:r>
            <w:r>
              <w:rPr>
                <w:rFonts w:hint="eastAsia" w:ascii="宋体" w:hAnsi="宋体" w:cs="宋体-简"/>
                <w:b/>
                <w:kern w:val="0"/>
                <w:sz w:val="22"/>
              </w:rPr>
              <w:t>（</w:t>
            </w:r>
            <w:r>
              <w:rPr>
                <w:rFonts w:hint="eastAsia" w:ascii="宋体" w:hAnsi="宋体" w:cs="宋体-简"/>
                <w:b/>
                <w:color w:val="000000"/>
                <w:kern w:val="0"/>
                <w:sz w:val="22"/>
              </w:rPr>
              <w:t>投标时</w:t>
            </w:r>
            <w:r>
              <w:rPr>
                <w:rFonts w:hint="eastAsia" w:ascii="宋体" w:hAnsi="宋体" w:cs="宋体-简"/>
                <w:b/>
                <w:kern w:val="0"/>
                <w:sz w:val="22"/>
              </w:rPr>
              <w:t>需提供</w:t>
            </w:r>
            <w:r>
              <w:rPr>
                <w:rFonts w:hint="eastAsia" w:ascii="宋体" w:hAnsi="宋体" w:cs="宋体-简"/>
                <w:b/>
                <w:color w:val="000000"/>
                <w:kern w:val="0"/>
                <w:sz w:val="22"/>
              </w:rPr>
              <w:t>加盖原厂公章的</w:t>
            </w:r>
            <w:r>
              <w:rPr>
                <w:rFonts w:hint="eastAsia" w:ascii="宋体" w:hAnsi="宋体" w:cs="宋体-简"/>
                <w:b/>
                <w:kern w:val="0"/>
                <w:sz w:val="22"/>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国家信息安全漏洞共享平台(CNVD)技术组成员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color w:val="000000"/>
                <w:kern w:val="0"/>
                <w:sz w:val="22"/>
              </w:rPr>
              <w:t>产品应具备计算机信息系统安全专用产品销售许可证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color w:val="000000"/>
                <w:kern w:val="0"/>
                <w:sz w:val="22"/>
              </w:rPr>
            </w:pPr>
            <w:r>
              <w:rPr>
                <w:rFonts w:hint="eastAsia" w:ascii="宋体" w:hAnsi="宋体" w:cs="宋体-简"/>
                <w:kern w:val="0"/>
                <w:sz w:val="22"/>
              </w:rPr>
              <w:t>产品厂商应具备IT产品信息安全认证证书EAL4增强级证书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简"/>
                <w:color w:val="000000"/>
                <w:kern w:val="0"/>
                <w:sz w:val="22"/>
              </w:rPr>
            </w:pPr>
          </w:p>
        </w:tc>
        <w:tc>
          <w:tcPr>
            <w:tcW w:w="827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简"/>
                <w:b/>
                <w:kern w:val="0"/>
                <w:sz w:val="22"/>
                <w:highlight w:val="yellow"/>
              </w:rPr>
            </w:pPr>
            <w:r>
              <w:rPr>
                <w:rFonts w:hint="eastAsia" w:ascii="宋体" w:hAnsi="宋体" w:cs="宋体-简"/>
                <w:kern w:val="0"/>
                <w:sz w:val="22"/>
              </w:rPr>
              <w:t>★</w:t>
            </w:r>
            <w:r>
              <w:rPr>
                <w:rFonts w:hint="eastAsia" w:ascii="宋体" w:hAnsi="宋体" w:cs="宋体-简"/>
                <w:b/>
                <w:kern w:val="0"/>
                <w:sz w:val="22"/>
              </w:rPr>
              <w:t>所投产品的生产厂商应是国家互联网应急响应中心网络安全应急服务国家级支撑单位。（提供时需提供</w:t>
            </w:r>
            <w:r>
              <w:rPr>
                <w:rFonts w:hint="eastAsia" w:ascii="宋体" w:hAnsi="宋体" w:cs="宋体-简"/>
                <w:b/>
                <w:color w:val="000000"/>
                <w:kern w:val="0"/>
                <w:sz w:val="22"/>
              </w:rPr>
              <w:t>加盖原厂公章的</w:t>
            </w:r>
            <w:r>
              <w:rPr>
                <w:rFonts w:hint="eastAsia" w:ascii="宋体" w:hAnsi="宋体" w:cs="宋体-简"/>
                <w:b/>
                <w:kern w:val="0"/>
                <w:sz w:val="22"/>
              </w:rPr>
              <w:t>有效证书的复印件）</w:t>
            </w:r>
          </w:p>
        </w:tc>
      </w:tr>
    </w:tbl>
    <w:p>
      <w:pPr>
        <w:widowControl/>
        <w:jc w:val="left"/>
        <w:rPr>
          <w:rFonts w:ascii="宋体" w:hAnsi="宋体" w:cs="宋体"/>
          <w:b/>
          <w:bCs/>
          <w:color w:val="000000"/>
          <w:kern w:val="0"/>
          <w:sz w:val="28"/>
          <w:szCs w:val="28"/>
        </w:rPr>
      </w:pPr>
    </w:p>
    <w:p>
      <w:pPr>
        <w:pStyle w:val="2"/>
        <w:ind w:firstLine="0" w:firstLineChars="0"/>
      </w:pPr>
    </w:p>
    <w:p>
      <w:pPr>
        <w:widowControl/>
        <w:jc w:val="center"/>
        <w:rPr>
          <w:rFonts w:ascii="宋体" w:hAnsi="宋体" w:cs="Arial"/>
          <w:b/>
          <w:bCs/>
          <w:sz w:val="32"/>
          <w:szCs w:val="32"/>
        </w:rPr>
      </w:pPr>
      <w:bookmarkStart w:id="84" w:name="_Toc46091228"/>
      <w:bookmarkEnd w:id="84"/>
      <w:r>
        <w:rPr>
          <w:rFonts w:hint="eastAsia" w:ascii="宋体" w:hAnsi="宋体" w:cs="Arial"/>
          <w:b/>
          <w:bCs/>
          <w:sz w:val="32"/>
          <w:szCs w:val="32"/>
        </w:rPr>
        <w:t>第四章  磋商方法及标准(综合评分法)</w:t>
      </w:r>
      <w:bookmarkStart w:id="85" w:name="_Toc12009"/>
      <w:bookmarkStart w:id="86" w:name="_Toc425960644"/>
      <w:bookmarkStart w:id="87" w:name="_Toc501715499"/>
      <w:bookmarkStart w:id="88" w:name="_Toc397928613"/>
      <w:bookmarkStart w:id="89" w:name="_Toc184635088"/>
      <w:bookmarkStart w:id="90" w:name="_Toc504664807"/>
    </w:p>
    <w:bookmarkEnd w:id="85"/>
    <w:bookmarkEnd w:id="86"/>
    <w:bookmarkEnd w:id="87"/>
    <w:bookmarkEnd w:id="88"/>
    <w:bookmarkEnd w:id="89"/>
    <w:bookmarkEnd w:id="90"/>
    <w:tbl>
      <w:tblPr>
        <w:tblStyle w:val="30"/>
        <w:tblW w:w="0" w:type="auto"/>
        <w:tblInd w:w="108" w:type="dxa"/>
        <w:tblLayout w:type="autofit"/>
        <w:tblCellMar>
          <w:top w:w="0" w:type="dxa"/>
          <w:left w:w="108" w:type="dxa"/>
          <w:bottom w:w="0" w:type="dxa"/>
          <w:right w:w="108" w:type="dxa"/>
        </w:tblCellMar>
      </w:tblPr>
      <w:tblGrid>
        <w:gridCol w:w="1349"/>
        <w:gridCol w:w="1982"/>
        <w:gridCol w:w="6075"/>
      </w:tblGrid>
      <w:tr>
        <w:tblPrEx>
          <w:tblCellMar>
            <w:top w:w="0" w:type="dxa"/>
            <w:left w:w="108" w:type="dxa"/>
            <w:bottom w:w="0" w:type="dxa"/>
            <w:right w:w="108" w:type="dxa"/>
          </w:tblCellMar>
        </w:tblPrEx>
        <w:trPr>
          <w:trHeight w:val="106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bookmarkStart w:id="91" w:name="_Toc482189587"/>
            <w:bookmarkStart w:id="92" w:name="_Toc482192401"/>
            <w:bookmarkStart w:id="93" w:name="_Toc482131737"/>
            <w:r>
              <w:rPr>
                <w:rFonts w:hint="eastAsia" w:ascii="宋体" w:hAnsi="宋体" w:cs="宋体"/>
                <w:color w:val="000000"/>
                <w:kern w:val="0"/>
                <w:szCs w:val="21"/>
              </w:rPr>
              <w:t>本项目评标采用为综合评分法，即在满足招标文件实质性要求前提下，按照招标文件中规定的评分标准进行综合评分后，以评标总得分最高的投标人作为中标候选人。</w:t>
            </w:r>
          </w:p>
        </w:tc>
      </w:tr>
      <w:tr>
        <w:tblPrEx>
          <w:tblCellMar>
            <w:top w:w="0" w:type="dxa"/>
            <w:left w:w="108" w:type="dxa"/>
            <w:bottom w:w="0" w:type="dxa"/>
            <w:right w:w="108" w:type="dxa"/>
          </w:tblCellMar>
        </w:tblPrEx>
        <w:trPr>
          <w:trHeight w:val="63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评分项</w:t>
            </w:r>
          </w:p>
        </w:tc>
        <w:tc>
          <w:tcPr>
            <w:tcW w:w="6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评分标准</w:t>
            </w:r>
          </w:p>
        </w:tc>
      </w:tr>
      <w:tr>
        <w:tblPrEx>
          <w:tblCellMar>
            <w:top w:w="0" w:type="dxa"/>
            <w:left w:w="108" w:type="dxa"/>
            <w:bottom w:w="0" w:type="dxa"/>
            <w:right w:w="108" w:type="dxa"/>
          </w:tblCellMar>
        </w:tblPrEx>
        <w:trPr>
          <w:trHeight w:val="1065"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1、商务部分（30分）</w:t>
            </w:r>
          </w:p>
        </w:tc>
        <w:tc>
          <w:tcPr>
            <w:tcW w:w="185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投标报价得分（30分）</w:t>
            </w: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满足招标文件要求的最低有效报价为评标基准价，投标报价得分=（评标基准价/投标报价）*30</w:t>
            </w:r>
          </w:p>
        </w:tc>
      </w:tr>
      <w:tr>
        <w:tblPrEx>
          <w:tblCellMar>
            <w:top w:w="0" w:type="dxa"/>
            <w:left w:w="108" w:type="dxa"/>
            <w:bottom w:w="0" w:type="dxa"/>
            <w:right w:w="108" w:type="dxa"/>
          </w:tblCellMar>
        </w:tblPrEx>
        <w:trPr>
          <w:trHeight w:val="1065"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2、技术部分（</w:t>
            </w:r>
            <w:r>
              <w:rPr>
                <w:rFonts w:ascii="宋体" w:hAnsi="宋体" w:cs="宋体"/>
                <w:color w:val="000000"/>
                <w:kern w:val="0"/>
                <w:szCs w:val="21"/>
              </w:rPr>
              <w:t>7</w:t>
            </w:r>
            <w:r>
              <w:rPr>
                <w:rFonts w:hint="eastAsia" w:ascii="宋体" w:hAnsi="宋体" w:cs="宋体"/>
                <w:color w:val="000000"/>
                <w:kern w:val="0"/>
                <w:szCs w:val="21"/>
              </w:rPr>
              <w:t>0分）</w:t>
            </w:r>
          </w:p>
        </w:tc>
        <w:tc>
          <w:tcPr>
            <w:tcW w:w="1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企业综合实力（12分）</w:t>
            </w: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投标人同时具有质量管理</w:t>
            </w:r>
            <w:r>
              <w:rPr>
                <w:rFonts w:ascii="宋体" w:hAnsi="宋体" w:cs="宋体"/>
                <w:color w:val="000000"/>
                <w:kern w:val="0"/>
                <w:szCs w:val="21"/>
              </w:rPr>
              <w:t>体系</w:t>
            </w:r>
            <w:r>
              <w:rPr>
                <w:rFonts w:hint="eastAsia" w:ascii="宋体" w:hAnsi="宋体" w:cs="宋体"/>
                <w:color w:val="000000"/>
                <w:kern w:val="0"/>
                <w:szCs w:val="21"/>
              </w:rPr>
              <w:t>认证证书、职业健康安全管理体系证书、信息安全管理体系认证证书的，得3分，缺一项得1分，其余不得分。</w:t>
            </w:r>
          </w:p>
        </w:tc>
      </w:tr>
      <w:tr>
        <w:tblPrEx>
          <w:tblCellMar>
            <w:top w:w="0" w:type="dxa"/>
            <w:left w:w="108" w:type="dxa"/>
            <w:bottom w:w="0" w:type="dxa"/>
            <w:right w:w="108" w:type="dxa"/>
          </w:tblCellMar>
        </w:tblPrEx>
        <w:trPr>
          <w:trHeight w:val="10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投标人具有电子与智能化工程专业承包壹级证书的得3分，电子与智能化工程专业承包贰级证书得1分，不具备该证书的不得分。</w:t>
            </w:r>
          </w:p>
        </w:tc>
      </w:tr>
      <w:tr>
        <w:tblPrEx>
          <w:tblCellMar>
            <w:top w:w="0" w:type="dxa"/>
            <w:left w:w="108" w:type="dxa"/>
            <w:bottom w:w="0" w:type="dxa"/>
            <w:right w:w="108" w:type="dxa"/>
          </w:tblCellMar>
        </w:tblPrEx>
        <w:trPr>
          <w:trHeight w:val="790"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投标人具有信息系统建设和服务能力CS4及以上得3分，具有CS3得1分，其余不得分；</w:t>
            </w:r>
          </w:p>
        </w:tc>
      </w:tr>
      <w:tr>
        <w:tblPrEx>
          <w:tblCellMar>
            <w:top w:w="0" w:type="dxa"/>
            <w:left w:w="108" w:type="dxa"/>
            <w:bottom w:w="0" w:type="dxa"/>
            <w:right w:w="108" w:type="dxa"/>
          </w:tblCellMar>
        </w:tblPrEx>
        <w:trPr>
          <w:trHeight w:val="8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投标人具有信息技术服务标准（ITSS）运行维护一级，得3分；二级得1分，其余不得分。</w:t>
            </w:r>
          </w:p>
        </w:tc>
      </w:tr>
      <w:tr>
        <w:tblPrEx>
          <w:tblCellMar>
            <w:top w:w="0" w:type="dxa"/>
            <w:left w:w="108" w:type="dxa"/>
            <w:bottom w:w="0" w:type="dxa"/>
            <w:right w:w="108" w:type="dxa"/>
          </w:tblCellMar>
        </w:tblPrEx>
        <w:trPr>
          <w:trHeight w:val="10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厂家综合实力（5分）</w:t>
            </w: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视频会议专线接入防火墙厂商的软件研发实</w:t>
            </w:r>
            <w:r>
              <w:rPr>
                <w:rFonts w:hint="eastAsia" w:ascii="宋体" w:hAnsi="宋体" w:cs="宋体"/>
                <w:kern w:val="0"/>
                <w:szCs w:val="21"/>
              </w:rPr>
              <w:t>力需通过CMMI5认证（</w:t>
            </w:r>
            <w:r>
              <w:rPr>
                <w:rFonts w:hint="eastAsia" w:ascii="宋体" w:hAnsi="宋体" w:cs="宋体"/>
                <w:color w:val="000000"/>
                <w:kern w:val="0"/>
                <w:szCs w:val="21"/>
              </w:rPr>
              <w:t>提供加盖原厂公章的证书复印件），提供证书CMMI5认证得3分，具有CMMI3认证得1分，其他不得分。</w:t>
            </w:r>
          </w:p>
        </w:tc>
      </w:tr>
      <w:tr>
        <w:tblPrEx>
          <w:tblCellMar>
            <w:top w:w="0" w:type="dxa"/>
            <w:left w:w="108" w:type="dxa"/>
            <w:bottom w:w="0" w:type="dxa"/>
            <w:right w:w="108" w:type="dxa"/>
          </w:tblCellMar>
        </w:tblPrEx>
        <w:trPr>
          <w:trHeight w:val="10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所投视频会议专线接入防火墙的生产厂商应是国家互联网应急响应中心网络安全应急服务国家级支撑单位，满足得2分，不满足不得分。（需提供加盖原厂公章的有效证书的复印件）；</w:t>
            </w:r>
          </w:p>
        </w:tc>
      </w:tr>
      <w:tr>
        <w:tblPrEx>
          <w:tblCellMar>
            <w:top w:w="0" w:type="dxa"/>
            <w:left w:w="108" w:type="dxa"/>
            <w:bottom w:w="0" w:type="dxa"/>
            <w:right w:w="108" w:type="dxa"/>
          </w:tblCellMar>
        </w:tblPrEx>
        <w:trPr>
          <w:trHeight w:val="10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人员资质（5分）</w:t>
            </w: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项目负责人同时拥有：①系统分析师证书、②网络工程师证书、③系统集成项目管理工程师证书、④信息系统项目管理师证书得5分，缺一项得2分，缺二项及以上的不得分；</w:t>
            </w:r>
          </w:p>
        </w:tc>
      </w:tr>
      <w:tr>
        <w:tblPrEx>
          <w:tblCellMar>
            <w:top w:w="0" w:type="dxa"/>
            <w:left w:w="108" w:type="dxa"/>
            <w:bottom w:w="0" w:type="dxa"/>
            <w:right w:w="108" w:type="dxa"/>
          </w:tblCellMar>
        </w:tblPrEx>
        <w:trPr>
          <w:trHeight w:val="10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技术参数（30分）</w:t>
            </w: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满足采购文件功能参数要求的得30分，主要表现在投标文件的功能参数内容是否符合招标人的需求，不满足加★项采购需求的，有一项扣3分；其他技术参数不满足采购需求的，有一项扣1分，扣完为止。</w:t>
            </w:r>
          </w:p>
        </w:tc>
      </w:tr>
      <w:tr>
        <w:tblPrEx>
          <w:tblCellMar>
            <w:top w:w="0" w:type="dxa"/>
            <w:left w:w="108" w:type="dxa"/>
            <w:bottom w:w="0" w:type="dxa"/>
            <w:right w:w="108" w:type="dxa"/>
          </w:tblCellMar>
        </w:tblPrEx>
        <w:trPr>
          <w:trHeight w:val="10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施工方案（9分）</w:t>
            </w: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由评委根据各投标人施工方案横向比较评审。优得7-9分，良得4-6分，一般得1-3分，差不得分。</w:t>
            </w:r>
          </w:p>
        </w:tc>
      </w:tr>
      <w:tr>
        <w:tblPrEx>
          <w:tblCellMar>
            <w:top w:w="0" w:type="dxa"/>
            <w:left w:w="108" w:type="dxa"/>
            <w:bottom w:w="0" w:type="dxa"/>
            <w:right w:w="108" w:type="dxa"/>
          </w:tblCellMar>
        </w:tblPrEx>
        <w:trPr>
          <w:trHeight w:val="1065" w:hRule="atLeast"/>
        </w:trPr>
        <w:tc>
          <w:tcPr>
            <w:tcW w:w="11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售后服务与培训（9分）</w:t>
            </w:r>
          </w:p>
        </w:tc>
        <w:tc>
          <w:tcPr>
            <w:tcW w:w="61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根据售后服务、培训及履约能力保障方案，由评委横向对比打分，优7-9分，良4-6分，一般1-3分。无售后服务、培训及履约能力保障方案不得分。</w:t>
            </w:r>
          </w:p>
        </w:tc>
      </w:tr>
    </w:tbl>
    <w:p>
      <w:pPr>
        <w:pStyle w:val="78"/>
        <w:rPr>
          <w:rFonts w:ascii="宋体" w:hAnsi="宋体" w:eastAsia="宋体" w:cs="Arial"/>
          <w:b/>
          <w:sz w:val="36"/>
          <w:szCs w:val="36"/>
        </w:rPr>
      </w:pPr>
      <w:r>
        <w:rPr>
          <w:rFonts w:ascii="宋体" w:hAnsi="宋体" w:eastAsia="宋体" w:cs="Arial"/>
          <w:bCs/>
          <w:sz w:val="36"/>
          <w:szCs w:val="36"/>
        </w:rPr>
        <w:br w:type="page"/>
      </w:r>
      <w:r>
        <w:rPr>
          <w:rFonts w:hint="eastAsia" w:ascii="宋体" w:hAnsi="宋体" w:eastAsia="宋体" w:cs="Arial"/>
          <w:b/>
          <w:sz w:val="36"/>
          <w:szCs w:val="36"/>
        </w:rPr>
        <w:t>第五章   竞争性磋商响应文件组成</w:t>
      </w:r>
      <w:bookmarkEnd w:id="91"/>
      <w:bookmarkEnd w:id="92"/>
    </w:p>
    <w:bookmarkEnd w:id="93"/>
    <w:p>
      <w:pPr>
        <w:rPr>
          <w:rFonts w:ascii="宋体" w:hAnsi="宋体"/>
        </w:rPr>
      </w:pPr>
    </w:p>
    <w:p>
      <w:pPr>
        <w:pStyle w:val="6"/>
        <w:rPr>
          <w:rFonts w:ascii="宋体" w:hAnsi="宋体"/>
        </w:rPr>
      </w:pPr>
      <w:bookmarkStart w:id="94" w:name="_Toc482192402"/>
      <w:bookmarkStart w:id="95" w:name="_Toc482189588"/>
      <w:r>
        <w:rPr>
          <w:rFonts w:ascii="宋体" w:hAnsi="宋体"/>
        </w:rPr>
        <w:t>封面</w:t>
      </w:r>
      <w:bookmarkEnd w:id="94"/>
      <w:bookmarkEnd w:id="95"/>
    </w:p>
    <w:p>
      <w:pPr>
        <w:jc w:val="center"/>
        <w:rPr>
          <w:rFonts w:ascii="宋体" w:hAnsi="宋体"/>
          <w:b/>
          <w:sz w:val="72"/>
          <w:szCs w:val="21"/>
        </w:rPr>
      </w:pPr>
    </w:p>
    <w:p>
      <w:pPr>
        <w:jc w:val="center"/>
        <w:rPr>
          <w:rFonts w:ascii="宋体" w:hAnsi="宋体"/>
          <w:b/>
          <w:sz w:val="72"/>
          <w:szCs w:val="21"/>
        </w:rPr>
      </w:pPr>
      <w:r>
        <w:rPr>
          <w:rFonts w:hint="eastAsia" w:ascii="宋体" w:hAnsi="宋体"/>
          <w:b/>
          <w:sz w:val="72"/>
          <w:szCs w:val="21"/>
        </w:rPr>
        <w:t xml:space="preserve"> 竞争性磋商响应文件</w:t>
      </w:r>
    </w:p>
    <w:p>
      <w:pPr>
        <w:jc w:val="left"/>
        <w:rPr>
          <w:rFonts w:ascii="宋体" w:hAnsi="宋体"/>
          <w:b/>
          <w:bCs/>
          <w:kern w:val="0"/>
          <w:sz w:val="32"/>
          <w:szCs w:val="24"/>
        </w:rPr>
      </w:pPr>
    </w:p>
    <w:p>
      <w:pPr>
        <w:pStyle w:val="79"/>
        <w:ind w:firstLine="0"/>
        <w:jc w:val="center"/>
        <w:rPr>
          <w:rFonts w:ascii="宋体" w:hAnsi="宋体"/>
          <w:b/>
          <w:bCs/>
          <w:sz w:val="32"/>
        </w:rPr>
      </w:pPr>
      <w:r>
        <w:rPr>
          <w:rFonts w:hint="eastAsia" w:ascii="宋体" w:hAnsi="宋体" w:cs="宋体"/>
          <w:color w:val="0D0D0D"/>
          <w:sz w:val="36"/>
          <w:szCs w:val="36"/>
          <w:u w:val="single"/>
        </w:rPr>
        <w:t>资格证明材料包/技术包/报价包</w:t>
      </w:r>
    </w:p>
    <w:p>
      <w:pPr>
        <w:ind w:firstLine="1084" w:firstLineChars="300"/>
        <w:rPr>
          <w:rFonts w:ascii="宋体" w:hAnsi="宋体"/>
          <w:b/>
          <w:sz w:val="36"/>
          <w:szCs w:val="21"/>
        </w:rPr>
      </w:pPr>
      <w:r>
        <w:rPr>
          <w:rFonts w:hint="eastAsia" w:ascii="宋体" w:hAnsi="宋体"/>
          <w:b/>
          <w:sz w:val="36"/>
          <w:szCs w:val="21"/>
        </w:rPr>
        <w:t xml:space="preserve">               （正本）</w:t>
      </w:r>
    </w:p>
    <w:p>
      <w:pPr>
        <w:jc w:val="left"/>
        <w:rPr>
          <w:rFonts w:ascii="宋体" w:hAnsi="宋体"/>
          <w:b/>
          <w:bCs/>
          <w:kern w:val="0"/>
          <w:sz w:val="32"/>
          <w:szCs w:val="24"/>
        </w:rPr>
      </w:pPr>
    </w:p>
    <w:p>
      <w:pPr>
        <w:jc w:val="left"/>
        <w:rPr>
          <w:rFonts w:ascii="宋体" w:hAnsi="宋体"/>
          <w:b/>
          <w:bCs/>
          <w:kern w:val="0"/>
          <w:sz w:val="32"/>
          <w:szCs w:val="24"/>
        </w:rPr>
      </w:pPr>
    </w:p>
    <w:p>
      <w:pPr>
        <w:ind w:firstLine="1084" w:firstLineChars="300"/>
        <w:rPr>
          <w:rFonts w:ascii="宋体" w:hAnsi="宋体"/>
          <w:b/>
          <w:sz w:val="36"/>
          <w:szCs w:val="21"/>
        </w:rPr>
      </w:pPr>
    </w:p>
    <w:p>
      <w:pPr>
        <w:ind w:firstLine="1084" w:firstLineChars="300"/>
        <w:rPr>
          <w:rFonts w:ascii="宋体" w:hAnsi="宋体"/>
          <w:b/>
          <w:sz w:val="36"/>
          <w:szCs w:val="21"/>
        </w:rPr>
      </w:pPr>
    </w:p>
    <w:p>
      <w:pPr>
        <w:ind w:firstLine="1084" w:firstLineChars="300"/>
        <w:rPr>
          <w:rFonts w:ascii="宋体" w:hAnsi="宋体"/>
          <w:b/>
          <w:sz w:val="36"/>
          <w:szCs w:val="21"/>
        </w:rPr>
      </w:pPr>
    </w:p>
    <w:p>
      <w:pPr>
        <w:ind w:firstLine="1084" w:firstLineChars="300"/>
        <w:rPr>
          <w:rFonts w:ascii="宋体" w:hAnsi="宋体"/>
          <w:b/>
          <w:sz w:val="36"/>
          <w:szCs w:val="21"/>
        </w:rPr>
      </w:pPr>
    </w:p>
    <w:p>
      <w:pPr>
        <w:ind w:firstLine="843" w:firstLineChars="300"/>
        <w:rPr>
          <w:rFonts w:ascii="宋体" w:hAnsi="宋体"/>
          <w:b/>
          <w:sz w:val="28"/>
          <w:szCs w:val="28"/>
        </w:rPr>
      </w:pPr>
      <w:r>
        <w:rPr>
          <w:rFonts w:hint="eastAsia" w:ascii="宋体" w:hAnsi="宋体"/>
          <w:b/>
          <w:sz w:val="28"/>
          <w:szCs w:val="28"/>
        </w:rPr>
        <w:t>项 目 名 称：</w:t>
      </w:r>
    </w:p>
    <w:p>
      <w:pPr>
        <w:ind w:firstLine="843" w:firstLineChars="300"/>
        <w:rPr>
          <w:rFonts w:ascii="宋体" w:hAnsi="宋体"/>
          <w:b/>
          <w:sz w:val="28"/>
          <w:szCs w:val="28"/>
          <w:u w:val="single"/>
        </w:rPr>
      </w:pPr>
      <w:r>
        <w:rPr>
          <w:rFonts w:hint="eastAsia" w:ascii="宋体" w:hAnsi="宋体"/>
          <w:b/>
          <w:sz w:val="28"/>
          <w:szCs w:val="28"/>
        </w:rPr>
        <w:t>项 目 编 号：</w:t>
      </w:r>
    </w:p>
    <w:p>
      <w:pPr>
        <w:ind w:firstLine="843" w:firstLineChars="300"/>
        <w:rPr>
          <w:rFonts w:ascii="宋体" w:hAnsi="宋体"/>
          <w:b/>
          <w:sz w:val="28"/>
          <w:szCs w:val="28"/>
        </w:rPr>
      </w:pPr>
      <w:r>
        <w:rPr>
          <w:rFonts w:hint="eastAsia" w:ascii="宋体" w:hAnsi="宋体"/>
          <w:b/>
          <w:sz w:val="28"/>
          <w:szCs w:val="28"/>
        </w:rPr>
        <w:t xml:space="preserve">磋商供应商名称：               </w:t>
      </w:r>
    </w:p>
    <w:p>
      <w:pPr>
        <w:rPr>
          <w:rFonts w:ascii="宋体" w:hAnsi="宋体"/>
          <w:b/>
          <w:sz w:val="28"/>
          <w:szCs w:val="28"/>
        </w:rPr>
      </w:pPr>
      <w:r>
        <w:rPr>
          <w:rFonts w:hint="eastAsia" w:ascii="宋体" w:hAnsi="宋体"/>
          <w:b/>
          <w:sz w:val="28"/>
          <w:szCs w:val="28"/>
        </w:rPr>
        <w:t xml:space="preserve">      日       期：</w:t>
      </w:r>
    </w:p>
    <w:p>
      <w:pPr>
        <w:snapToGrid w:val="0"/>
        <w:spacing w:line="360" w:lineRule="auto"/>
        <w:jc w:val="center"/>
        <w:outlineLvl w:val="0"/>
        <w:rPr>
          <w:rFonts w:ascii="宋体" w:hAnsi="宋体" w:cs="宋体"/>
          <w:bCs/>
          <w:color w:val="0D0D0D"/>
          <w:sz w:val="30"/>
          <w:szCs w:val="30"/>
        </w:rPr>
      </w:pPr>
      <w:bookmarkStart w:id="96" w:name="_Toc438651224"/>
    </w:p>
    <w:p>
      <w:pPr>
        <w:snapToGrid w:val="0"/>
        <w:spacing w:line="360" w:lineRule="auto"/>
        <w:jc w:val="center"/>
        <w:outlineLvl w:val="0"/>
        <w:rPr>
          <w:rFonts w:ascii="宋体" w:hAnsi="宋体" w:cs="宋体"/>
          <w:bCs/>
          <w:color w:val="0D0D0D"/>
          <w:sz w:val="30"/>
          <w:szCs w:val="30"/>
        </w:rPr>
      </w:pPr>
      <w:r>
        <w:rPr>
          <w:rFonts w:hint="eastAsia" w:ascii="宋体" w:hAnsi="宋体" w:cs="宋体"/>
          <w:bCs/>
          <w:color w:val="0D0D0D"/>
          <w:sz w:val="30"/>
          <w:szCs w:val="30"/>
        </w:rPr>
        <w:t xml:space="preserve">                                  </w:t>
      </w: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2"/>
          <w:szCs w:val="32"/>
        </w:rPr>
      </w:pPr>
      <w:r>
        <w:rPr>
          <w:rFonts w:hint="eastAsia" w:ascii="宋体" w:hAnsi="宋体" w:cs="宋体"/>
          <w:bCs/>
          <w:color w:val="0D0D0D"/>
          <w:sz w:val="32"/>
          <w:szCs w:val="32"/>
        </w:rPr>
        <w:t xml:space="preserve">第一部分  </w:t>
      </w:r>
      <w:bookmarkEnd w:id="96"/>
      <w:r>
        <w:rPr>
          <w:rFonts w:hint="eastAsia" w:ascii="宋体" w:hAnsi="宋体" w:cs="宋体"/>
          <w:bCs/>
          <w:color w:val="0D0D0D"/>
          <w:sz w:val="32"/>
          <w:szCs w:val="32"/>
        </w:rPr>
        <w:t>资格证明材料内容</w:t>
      </w:r>
    </w:p>
    <w:p>
      <w:pPr>
        <w:spacing w:line="460" w:lineRule="exact"/>
        <w:ind w:firstLine="480" w:firstLineChars="200"/>
        <w:contextualSpacing/>
        <w:rPr>
          <w:rFonts w:ascii="宋体" w:hAnsi="宋体" w:cs="仿宋"/>
          <w:bCs/>
          <w:sz w:val="24"/>
          <w:szCs w:val="24"/>
        </w:rPr>
      </w:pPr>
      <w:r>
        <w:rPr>
          <w:rFonts w:hint="eastAsia" w:ascii="宋体" w:hAnsi="宋体" w:cs="仿宋"/>
          <w:bCs/>
          <w:sz w:val="24"/>
          <w:szCs w:val="24"/>
        </w:rPr>
        <w:t>1、法定代表人参加投标的，必须提供法人身份证明及法人身份证原件；非法定代表人参加的，必须提供法定代表人签名或盖章的授权委托书及被委托授权人身份证及授权委托人的正式员工证明材料；</w:t>
      </w:r>
    </w:p>
    <w:p>
      <w:pPr>
        <w:spacing w:line="360" w:lineRule="auto"/>
        <w:ind w:firstLine="360" w:firstLineChars="150"/>
        <w:rPr>
          <w:rFonts w:ascii="宋体" w:hAnsi="宋体" w:cs="宋体"/>
          <w:sz w:val="24"/>
        </w:rPr>
      </w:pPr>
      <w:r>
        <w:rPr>
          <w:rFonts w:ascii="宋体" w:hAnsi="宋体" w:cs="宋体"/>
          <w:sz w:val="24"/>
        </w:rPr>
        <w:t>2、</w:t>
      </w:r>
      <w:r>
        <w:rPr>
          <w:rFonts w:hint="eastAsia" w:ascii="宋体" w:hAnsi="宋体" w:cs="宋体"/>
          <w:sz w:val="24"/>
        </w:rPr>
        <w:t>供应商必须是在中国境内注册具有合法经营资格并能够承担完全民事责任的独立企业法人，经营范围包括相关内容；提供企业法人营业执照副本复印件、税务登记证副本复印件；或三证合一的营业执照副本复印件；</w:t>
      </w:r>
    </w:p>
    <w:p>
      <w:pPr>
        <w:snapToGrid w:val="0"/>
        <w:spacing w:line="480" w:lineRule="exact"/>
        <w:ind w:firstLine="480" w:firstLineChars="200"/>
        <w:contextualSpacing/>
        <w:outlineLvl w:val="0"/>
        <w:rPr>
          <w:rFonts w:ascii="宋体" w:hAnsi="宋体" w:cs="仿宋"/>
          <w:bCs/>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sz w:val="24"/>
          <w:szCs w:val="24"/>
        </w:rPr>
        <w:t>有依法缴纳税收和社会保障资金的良好记录（提供社保缴纳记录和依法缴纳税收证明）</w:t>
      </w:r>
      <w:r>
        <w:rPr>
          <w:rFonts w:hint="eastAsia" w:ascii="宋体" w:hAnsi="宋体" w:cs="仿宋"/>
          <w:bCs/>
          <w:sz w:val="24"/>
          <w:szCs w:val="24"/>
        </w:rPr>
        <w:t xml:space="preserve">                                                                                                                                                                                                                                                                                                                                                                                                                              </w:t>
      </w:r>
    </w:p>
    <w:p>
      <w:pPr>
        <w:spacing w:line="460" w:lineRule="exact"/>
        <w:ind w:firstLine="480" w:firstLineChars="200"/>
        <w:contextualSpacing/>
        <w:rPr>
          <w:rFonts w:ascii="宋体" w:hAnsi="宋体" w:cs="仿宋"/>
          <w:bCs/>
          <w:sz w:val="24"/>
          <w:szCs w:val="24"/>
        </w:rPr>
      </w:pPr>
      <w:r>
        <w:rPr>
          <w:rFonts w:hint="eastAsia" w:ascii="宋体" w:hAnsi="宋体" w:cs="仿宋"/>
          <w:bCs/>
          <w:sz w:val="24"/>
          <w:szCs w:val="24"/>
        </w:rPr>
        <w:t>4、投标人需提供承诺书(承诺一切与投标有关的费用及责任由投标人承担，供货时提供的所有产品与服务，不存在任何的知识产权与版权的法律纠纷，可合法使用</w:t>
      </w:r>
      <w:r>
        <w:rPr>
          <w:rFonts w:ascii="宋体" w:hAnsi="宋体" w:cs="仿宋"/>
          <w:bCs/>
          <w:sz w:val="24"/>
          <w:szCs w:val="24"/>
        </w:rPr>
        <w:t>)</w:t>
      </w:r>
      <w:r>
        <w:rPr>
          <w:rFonts w:hint="eastAsia" w:ascii="宋体" w:hAnsi="宋体" w:cs="仿宋"/>
          <w:bCs/>
          <w:sz w:val="24"/>
          <w:szCs w:val="24"/>
        </w:rPr>
        <w:t>（格式自拟）；</w:t>
      </w:r>
    </w:p>
    <w:p>
      <w:pPr>
        <w:spacing w:line="460" w:lineRule="exact"/>
        <w:ind w:firstLine="426"/>
        <w:contextualSpacing/>
        <w:rPr>
          <w:rFonts w:ascii="宋体" w:hAnsi="宋体" w:cs="仿宋"/>
          <w:bCs/>
          <w:sz w:val="24"/>
          <w:szCs w:val="24"/>
        </w:rPr>
      </w:pPr>
      <w:r>
        <w:rPr>
          <w:rFonts w:hint="eastAsia" w:ascii="宋体" w:hAnsi="宋体" w:cs="仿宋"/>
          <w:bCs/>
          <w:sz w:val="24"/>
          <w:szCs w:val="24"/>
        </w:rPr>
        <w:t>5、须提供参加政府采购活动前三年内，在经营活动中没有重大违法记录的（格式按第七章）；</w:t>
      </w:r>
    </w:p>
    <w:p>
      <w:pPr>
        <w:pStyle w:val="3"/>
        <w:spacing w:line="460" w:lineRule="exact"/>
        <w:ind w:firstLine="426"/>
        <w:rPr>
          <w:rFonts w:ascii="宋体" w:hAnsi="宋体" w:eastAsia="宋体" w:cs="仿宋"/>
          <w:bCs/>
          <w:kern w:val="2"/>
          <w:sz w:val="24"/>
          <w:szCs w:val="24"/>
        </w:rPr>
      </w:pPr>
      <w:r>
        <w:rPr>
          <w:rFonts w:hint="eastAsia" w:ascii="宋体" w:hAnsi="宋体" w:eastAsia="宋体" w:cs="仿宋"/>
          <w:bCs/>
          <w:kern w:val="2"/>
          <w:sz w:val="24"/>
          <w:szCs w:val="24"/>
        </w:rPr>
        <w:t>6、磋商响应函；</w:t>
      </w:r>
    </w:p>
    <w:p>
      <w:pPr>
        <w:spacing w:line="460" w:lineRule="exact"/>
        <w:ind w:firstLine="480" w:firstLineChars="200"/>
        <w:contextualSpacing/>
        <w:rPr>
          <w:rFonts w:ascii="宋体" w:hAnsi="宋体" w:cs="仿宋"/>
          <w:bCs/>
          <w:sz w:val="24"/>
          <w:szCs w:val="24"/>
        </w:rPr>
      </w:pPr>
      <w:r>
        <w:rPr>
          <w:rFonts w:hint="eastAsia" w:ascii="宋体" w:hAnsi="宋体" w:cs="仿宋"/>
          <w:bCs/>
          <w:sz w:val="24"/>
          <w:szCs w:val="24"/>
        </w:rPr>
        <w:t>7、投标人认为其他必要的材料。</w:t>
      </w:r>
    </w:p>
    <w:p>
      <w:pPr>
        <w:rPr>
          <w:rFonts w:ascii="宋体" w:hAnsi="宋体"/>
        </w:rPr>
      </w:pPr>
      <w:r>
        <w:rPr>
          <w:rFonts w:hint="eastAsia" w:ascii="宋体" w:hAnsi="宋体" w:cs="宋体"/>
          <w:bCs/>
          <w:color w:val="0D0D0D"/>
          <w:sz w:val="30"/>
          <w:szCs w:val="30"/>
        </w:rPr>
        <w:br w:type="page"/>
      </w:r>
    </w:p>
    <w:p>
      <w:pPr>
        <w:snapToGrid w:val="0"/>
        <w:spacing w:line="360" w:lineRule="auto"/>
        <w:jc w:val="center"/>
        <w:outlineLvl w:val="0"/>
        <w:rPr>
          <w:rFonts w:ascii="宋体" w:hAnsi="宋体" w:cs="宋体"/>
          <w:b/>
          <w:bCs/>
          <w:sz w:val="24"/>
          <w:szCs w:val="24"/>
        </w:rPr>
      </w:pPr>
      <w:r>
        <w:rPr>
          <w:rFonts w:hint="eastAsia" w:ascii="宋体" w:hAnsi="宋体" w:cs="宋体"/>
          <w:bCs/>
          <w:color w:val="0D0D0D"/>
          <w:sz w:val="24"/>
          <w:szCs w:val="24"/>
        </w:rPr>
        <w:t xml:space="preserve"> </w:t>
      </w:r>
      <w:r>
        <w:rPr>
          <w:rFonts w:hint="eastAsia" w:ascii="宋体" w:hAnsi="宋体" w:cs="宋体"/>
          <w:b/>
          <w:bCs/>
          <w:sz w:val="24"/>
          <w:szCs w:val="24"/>
        </w:rPr>
        <w:t>1、法定代表人身份证明</w:t>
      </w:r>
    </w:p>
    <w:p>
      <w:pPr>
        <w:snapToGrid w:val="0"/>
        <w:spacing w:line="420" w:lineRule="exact"/>
        <w:rPr>
          <w:rFonts w:ascii="宋体" w:hAnsi="宋体"/>
          <w:sz w:val="24"/>
          <w:szCs w:val="24"/>
        </w:rPr>
      </w:pPr>
    </w:p>
    <w:p>
      <w:pPr>
        <w:snapToGrid w:val="0"/>
        <w:spacing w:line="420" w:lineRule="exact"/>
        <w:jc w:val="center"/>
        <w:rPr>
          <w:rFonts w:ascii="宋体" w:hAnsi="宋体"/>
          <w:sz w:val="24"/>
          <w:szCs w:val="24"/>
        </w:rPr>
      </w:pPr>
      <w:r>
        <w:rPr>
          <w:rFonts w:hint="eastAsia" w:ascii="宋体" w:hAnsi="宋体"/>
          <w:sz w:val="24"/>
          <w:szCs w:val="24"/>
          <w:u w:val="single"/>
        </w:rPr>
        <w:t xml:space="preserve">          先生／女士：</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职务，为法定代表人，特此证明。</w:t>
      </w:r>
    </w:p>
    <w:p>
      <w:pPr>
        <w:snapToGrid w:val="0"/>
        <w:spacing w:line="420" w:lineRule="exact"/>
        <w:jc w:val="left"/>
        <w:rPr>
          <w:rFonts w:ascii="宋体" w:hAnsi="宋体"/>
          <w:sz w:val="24"/>
          <w:szCs w:val="24"/>
          <w:u w:val="single"/>
        </w:rPr>
      </w:pPr>
      <w:r>
        <w:rPr>
          <w:rFonts w:hint="eastAsia" w:ascii="宋体" w:hAnsi="宋体"/>
          <w:sz w:val="24"/>
          <w:szCs w:val="24"/>
        </w:rPr>
        <w:t>身份证号码：</w:t>
      </w:r>
    </w:p>
    <w:p>
      <w:pPr>
        <w:snapToGrid w:val="0"/>
        <w:spacing w:line="420" w:lineRule="exact"/>
        <w:ind w:firstLine="484" w:firstLineChars="202"/>
        <w:jc w:val="right"/>
        <w:rPr>
          <w:rFonts w:ascii="宋体" w:hAnsi="宋体"/>
          <w:sz w:val="24"/>
          <w:szCs w:val="24"/>
        </w:rPr>
      </w:pPr>
      <w:r>
        <w:rPr>
          <w:rFonts w:hint="eastAsia" w:ascii="宋体" w:hAnsi="宋体"/>
          <w:sz w:val="24"/>
          <w:szCs w:val="24"/>
        </w:rPr>
        <w:t>磋商响应供应商（盖章）</w:t>
      </w:r>
    </w:p>
    <w:p>
      <w:pPr>
        <w:snapToGrid w:val="0"/>
        <w:spacing w:line="420" w:lineRule="exact"/>
        <w:ind w:firstLine="484" w:firstLineChars="202"/>
        <w:jc w:val="right"/>
        <w:rPr>
          <w:rFonts w:ascii="宋体" w:hAnsi="宋体"/>
          <w:bCs/>
          <w:sz w:val="24"/>
          <w:szCs w:val="24"/>
        </w:rPr>
      </w:pPr>
      <w:r>
        <w:rPr>
          <w:rFonts w:hint="eastAsia" w:ascii="宋体" w:hAnsi="宋体"/>
          <w:bCs/>
          <w:sz w:val="24"/>
          <w:szCs w:val="24"/>
        </w:rPr>
        <w:t>年    月    日</w:t>
      </w:r>
    </w:p>
    <w:p>
      <w:pPr>
        <w:snapToGrid w:val="0"/>
        <w:spacing w:line="420" w:lineRule="exact"/>
        <w:ind w:firstLine="484" w:firstLineChars="202"/>
        <w:jc w:val="right"/>
        <w:rPr>
          <w:rFonts w:ascii="宋体" w:hAnsi="宋体"/>
          <w:bCs/>
          <w:sz w:val="24"/>
          <w:szCs w:val="24"/>
        </w:rPr>
      </w:pPr>
    </w:p>
    <w:p>
      <w:pPr>
        <w:snapToGrid w:val="0"/>
        <w:spacing w:line="420" w:lineRule="exact"/>
        <w:jc w:val="center"/>
        <w:rPr>
          <w:rFonts w:ascii="宋体" w:hAnsi="宋体"/>
          <w:sz w:val="24"/>
          <w:szCs w:val="24"/>
        </w:rPr>
      </w:pPr>
      <w:r>
        <w:rPr>
          <w:rFonts w:hint="eastAsia" w:ascii="宋体" w:hAnsi="宋体"/>
          <w:sz w:val="24"/>
          <w:szCs w:val="24"/>
        </w:rPr>
        <w:t>注：提供法定代表人的身份证扫描件并加盖公章</w:t>
      </w:r>
    </w:p>
    <w:p>
      <w:pPr>
        <w:snapToGrid w:val="0"/>
        <w:spacing w:line="420" w:lineRule="exact"/>
        <w:jc w:val="center"/>
        <w:rPr>
          <w:rFonts w:ascii="宋体" w:hAnsi="宋体"/>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cs="宋体"/>
          <w:b/>
          <w:bCs/>
          <w:sz w:val="24"/>
          <w:szCs w:val="24"/>
        </w:rPr>
      </w:pPr>
      <w:r>
        <w:rPr>
          <w:rFonts w:hint="eastAsia" w:ascii="宋体" w:hAnsi="宋体" w:cs="宋体"/>
          <w:b/>
          <w:bCs/>
          <w:sz w:val="24"/>
          <w:szCs w:val="24"/>
        </w:rPr>
        <w:t>2、法定代表人授权委托书</w:t>
      </w:r>
    </w:p>
    <w:p>
      <w:pPr>
        <w:pStyle w:val="89"/>
        <w:spacing w:line="480" w:lineRule="auto"/>
        <w:ind w:firstLine="480"/>
        <w:rPr>
          <w:rFonts w:ascii="宋体" w:hAnsi="宋体"/>
        </w:rPr>
      </w:pPr>
      <w:r>
        <w:rPr>
          <w:rFonts w:hint="eastAsia" w:ascii="宋体" w:hAnsi="宋体"/>
        </w:rPr>
        <w:t>本授权书声明：____________（供应商名称）授权________________（被授权人的姓名）为我方就项目采购活动的合法代理人，以本公司名义全权处理一切与该项目采购有关的事务。</w:t>
      </w:r>
    </w:p>
    <w:p>
      <w:pPr>
        <w:pStyle w:val="89"/>
        <w:spacing w:line="480" w:lineRule="auto"/>
        <w:ind w:firstLine="480"/>
        <w:rPr>
          <w:rFonts w:ascii="宋体" w:hAnsi="宋体"/>
        </w:rPr>
      </w:pPr>
      <w:r>
        <w:rPr>
          <w:rFonts w:hint="eastAsia" w:ascii="宋体" w:hAnsi="宋体"/>
        </w:rPr>
        <w:t>本授权书于______年____月____日起生效，特此声明。</w:t>
      </w:r>
    </w:p>
    <w:p>
      <w:pPr>
        <w:pStyle w:val="89"/>
        <w:spacing w:line="360" w:lineRule="auto"/>
        <w:rPr>
          <w:rFonts w:ascii="宋体" w:hAnsi="宋体"/>
        </w:rPr>
      </w:pPr>
    </w:p>
    <w:p>
      <w:pPr>
        <w:pStyle w:val="89"/>
        <w:spacing w:line="360" w:lineRule="auto"/>
        <w:ind w:firstLine="960" w:firstLineChars="400"/>
        <w:rPr>
          <w:rFonts w:ascii="宋体" w:hAnsi="宋体"/>
        </w:rPr>
      </w:pPr>
      <w:r>
        <w:rPr>
          <w:rFonts w:hint="eastAsia" w:ascii="宋体" w:hAnsi="宋体"/>
        </w:rPr>
        <w:t>代理人（被授权人）：_______________________</w:t>
      </w:r>
    </w:p>
    <w:p>
      <w:pPr>
        <w:pStyle w:val="89"/>
        <w:spacing w:line="360" w:lineRule="auto"/>
        <w:rPr>
          <w:rFonts w:ascii="宋体" w:hAnsi="宋体"/>
        </w:rPr>
      </w:pPr>
      <w:r>
        <w:rPr>
          <w:rFonts w:hint="eastAsia" w:ascii="宋体" w:hAnsi="宋体"/>
        </w:rPr>
        <w:t xml:space="preserve">        单位名称：_____________________________________</w:t>
      </w:r>
    </w:p>
    <w:p>
      <w:pPr>
        <w:pStyle w:val="89"/>
        <w:spacing w:line="360" w:lineRule="auto"/>
        <w:rPr>
          <w:rFonts w:ascii="宋体" w:hAnsi="宋体"/>
        </w:rPr>
      </w:pPr>
      <w:r>
        <w:rPr>
          <w:rFonts w:hint="eastAsia" w:ascii="宋体" w:hAnsi="宋体"/>
        </w:rPr>
        <w:t xml:space="preserve">        授权单位盖章：_________________________________</w:t>
      </w:r>
    </w:p>
    <w:p>
      <w:pPr>
        <w:pStyle w:val="89"/>
        <w:spacing w:line="360" w:lineRule="auto"/>
        <w:ind w:firstLine="480"/>
        <w:rPr>
          <w:rFonts w:ascii="宋体" w:hAnsi="宋体"/>
        </w:rPr>
      </w:pPr>
      <w:r>
        <w:rPr>
          <w:rFonts w:hint="eastAsia" w:ascii="宋体" w:hAnsi="宋体"/>
        </w:rPr>
        <w:t xml:space="preserve">    单位名称：_____________________________________</w:t>
      </w:r>
    </w:p>
    <w:p>
      <w:pPr>
        <w:pStyle w:val="89"/>
        <w:spacing w:line="360" w:lineRule="auto"/>
        <w:ind w:firstLine="480"/>
        <w:rPr>
          <w:rFonts w:ascii="宋体" w:hAnsi="宋体"/>
          <w:u w:val="single"/>
        </w:rPr>
      </w:pPr>
      <w:r>
        <w:rPr>
          <w:rFonts w:hint="eastAsia" w:ascii="宋体" w:hAnsi="宋体"/>
        </w:rPr>
        <w:t xml:space="preserve">    地    址：</w:t>
      </w:r>
    </w:p>
    <w:p>
      <w:pPr>
        <w:pStyle w:val="89"/>
        <w:spacing w:line="360" w:lineRule="auto"/>
        <w:ind w:firstLine="480"/>
        <w:rPr>
          <w:rFonts w:ascii="宋体" w:hAnsi="宋体"/>
        </w:rPr>
      </w:pPr>
      <w:r>
        <w:rPr>
          <w:rFonts w:hint="eastAsia" w:ascii="宋体" w:hAnsi="宋体"/>
        </w:rPr>
        <w:t xml:space="preserve">    日    期：</w:t>
      </w:r>
    </w:p>
    <w:p>
      <w:pPr>
        <w:rPr>
          <w:rFonts w:ascii="宋体" w:hAnsi="宋体"/>
          <w:sz w:val="24"/>
          <w:szCs w:val="24"/>
        </w:rPr>
      </w:pPr>
    </w:p>
    <w:p>
      <w:pPr>
        <w:rPr>
          <w:rFonts w:ascii="宋体" w:hAnsi="宋体"/>
          <w:sz w:val="24"/>
          <w:szCs w:val="24"/>
        </w:rPr>
      </w:pPr>
    </w:p>
    <w:p>
      <w:pPr>
        <w:pStyle w:val="29"/>
        <w:ind w:firstLine="420"/>
      </w:pPr>
    </w:p>
    <w:p>
      <w:pPr>
        <w:snapToGrid w:val="0"/>
        <w:spacing w:line="420" w:lineRule="exact"/>
        <w:ind w:firstLine="321" w:firstLineChars="134"/>
        <w:jc w:val="center"/>
        <w:rPr>
          <w:rFonts w:ascii="宋体" w:hAnsi="宋体"/>
          <w:sz w:val="24"/>
          <w:szCs w:val="24"/>
        </w:rPr>
      </w:pPr>
      <w:r>
        <w:rPr>
          <w:rFonts w:hint="eastAsia" w:ascii="宋体" w:hAnsi="宋体"/>
          <w:sz w:val="24"/>
          <w:szCs w:val="24"/>
        </w:rPr>
        <w:t>注：提供被委托授权人的身份证扫描件盖公章</w:t>
      </w:r>
    </w:p>
    <w:p>
      <w:pPr>
        <w:rPr>
          <w:rFonts w:ascii="宋体" w:hAnsi="宋体"/>
        </w:rPr>
      </w:pPr>
    </w:p>
    <w:p>
      <w:pPr>
        <w:snapToGrid w:val="0"/>
        <w:spacing w:line="420" w:lineRule="exact"/>
        <w:jc w:val="center"/>
        <w:outlineLvl w:val="4"/>
        <w:rPr>
          <w:rFonts w:ascii="宋体" w:hAnsi="宋体" w:cs="宋体"/>
          <w:b/>
          <w:bCs/>
          <w:sz w:val="24"/>
          <w:szCs w:val="24"/>
        </w:rPr>
      </w:pPr>
      <w:bookmarkStart w:id="97" w:name="_Toc482192403"/>
      <w:bookmarkStart w:id="98" w:name="_Toc482189589"/>
      <w:r>
        <w:rPr>
          <w:rFonts w:hint="eastAsia" w:ascii="宋体" w:hAnsi="宋体" w:cs="宋体"/>
          <w:b/>
          <w:bCs/>
          <w:sz w:val="24"/>
          <w:szCs w:val="24"/>
        </w:rPr>
        <w:t>3、磋商响应函</w:t>
      </w:r>
      <w:bookmarkEnd w:id="97"/>
      <w:bookmarkEnd w:id="98"/>
    </w:p>
    <w:p>
      <w:pPr>
        <w:pStyle w:val="89"/>
        <w:spacing w:line="500" w:lineRule="exact"/>
        <w:ind w:firstLine="480" w:firstLineChars="200"/>
        <w:rPr>
          <w:rFonts w:ascii="宋体" w:hAnsi="宋体"/>
        </w:rPr>
      </w:pPr>
      <w:r>
        <w:rPr>
          <w:rFonts w:hint="eastAsia" w:ascii="宋体" w:hAnsi="宋体"/>
        </w:rPr>
        <w:t>致：</w:t>
      </w:r>
      <w:r>
        <w:rPr>
          <w:rFonts w:ascii="宋体" w:hAnsi="宋体"/>
        </w:rPr>
        <w:t xml:space="preserve"> </w:t>
      </w:r>
    </w:p>
    <w:p>
      <w:pPr>
        <w:pStyle w:val="89"/>
        <w:spacing w:line="500" w:lineRule="exact"/>
        <w:ind w:firstLine="480" w:firstLineChars="200"/>
        <w:rPr>
          <w:rFonts w:ascii="宋体" w:hAnsi="宋体"/>
        </w:rPr>
      </w:pPr>
      <w:r>
        <w:rPr>
          <w:rFonts w:hint="eastAsia" w:ascii="宋体" w:hAnsi="宋体"/>
        </w:rPr>
        <w:t>根据贵方的</w:t>
      </w:r>
      <w:r>
        <w:rPr>
          <w:rFonts w:hint="eastAsia" w:ascii="宋体" w:hAnsi="宋体"/>
          <w:u w:val="single"/>
        </w:rPr>
        <w:t xml:space="preserve">        （项目名称）</w:t>
      </w:r>
      <w:r>
        <w:rPr>
          <w:rFonts w:hint="eastAsia" w:ascii="宋体" w:hAnsi="宋体"/>
        </w:rPr>
        <w:t>磋商文件，正式授权下述签字人_________ (姓名和职务)代表我方______________（供应商的名称），全权处理本次项目磋商采购的有关事宜。</w:t>
      </w:r>
    </w:p>
    <w:p>
      <w:pPr>
        <w:pStyle w:val="89"/>
        <w:spacing w:line="500" w:lineRule="exact"/>
        <w:ind w:firstLine="480" w:firstLineChars="200"/>
        <w:rPr>
          <w:rFonts w:ascii="宋体" w:hAnsi="宋体"/>
        </w:rPr>
      </w:pPr>
      <w:r>
        <w:rPr>
          <w:rFonts w:hint="eastAsia" w:ascii="宋体" w:hAnsi="宋体"/>
        </w:rPr>
        <w:t>据此函，__________（签字人）兹宣布同意如下：</w:t>
      </w:r>
    </w:p>
    <w:p>
      <w:pPr>
        <w:pStyle w:val="89"/>
        <w:spacing w:line="500" w:lineRule="exact"/>
        <w:ind w:firstLine="480" w:firstLineChars="200"/>
        <w:rPr>
          <w:rFonts w:ascii="宋体" w:hAnsi="宋体"/>
        </w:rPr>
      </w:pPr>
      <w:r>
        <w:rPr>
          <w:rFonts w:hint="eastAsia" w:ascii="宋体" w:hAnsi="宋体"/>
        </w:rPr>
        <w:t>1.按磋商文件规定的各项要求，向买方提供所需服务。</w:t>
      </w:r>
    </w:p>
    <w:p>
      <w:pPr>
        <w:pStyle w:val="89"/>
        <w:spacing w:line="500" w:lineRule="exact"/>
        <w:ind w:firstLine="480" w:firstLineChars="200"/>
        <w:rPr>
          <w:rFonts w:ascii="宋体" w:hAnsi="宋体"/>
        </w:rPr>
      </w:pPr>
      <w:r>
        <w:rPr>
          <w:rFonts w:hint="eastAsia" w:ascii="宋体" w:hAnsi="宋体"/>
        </w:rPr>
        <w:t>2.我们已详细审核全部磋商文件及其有效补充文件，我们知道必须放弃提出含糊不清或误解问题的权利。</w:t>
      </w:r>
    </w:p>
    <w:p>
      <w:pPr>
        <w:pStyle w:val="89"/>
        <w:spacing w:line="500" w:lineRule="exact"/>
        <w:ind w:firstLine="480" w:firstLineChars="200"/>
        <w:rPr>
          <w:rFonts w:ascii="宋体" w:hAnsi="宋体"/>
        </w:rPr>
      </w:pPr>
      <w:r>
        <w:rPr>
          <w:rFonts w:hint="eastAsia" w:ascii="宋体" w:hAnsi="宋体"/>
        </w:rPr>
        <w:t>3.我们同意从规定的</w:t>
      </w:r>
      <w:r>
        <w:rPr>
          <w:rFonts w:hint="eastAsia" w:ascii="宋体" w:hAnsi="宋体"/>
          <w:color w:val="000000"/>
        </w:rPr>
        <w:t>响应文件接收截止时间</w:t>
      </w:r>
      <w:r>
        <w:rPr>
          <w:rFonts w:hint="eastAsia" w:ascii="宋体" w:hAnsi="宋体"/>
        </w:rPr>
        <w:t>起遵循本响应文件，并在规定的磋商有效期期满之前均具有约束力。</w:t>
      </w:r>
    </w:p>
    <w:p>
      <w:pPr>
        <w:pStyle w:val="89"/>
        <w:spacing w:line="500" w:lineRule="exact"/>
        <w:ind w:firstLine="480" w:firstLineChars="200"/>
        <w:rPr>
          <w:rFonts w:ascii="宋体" w:hAnsi="宋体"/>
        </w:rPr>
      </w:pPr>
      <w:r>
        <w:rPr>
          <w:rFonts w:hint="eastAsia" w:ascii="宋体" w:hAnsi="宋体"/>
        </w:rPr>
        <w:t>4.如果在</w:t>
      </w:r>
      <w:r>
        <w:rPr>
          <w:rFonts w:hint="eastAsia" w:ascii="宋体" w:hAnsi="宋体"/>
          <w:color w:val="000000"/>
        </w:rPr>
        <w:t>响应文件接收截止时间</w:t>
      </w:r>
      <w:r>
        <w:rPr>
          <w:rFonts w:hint="eastAsia" w:ascii="宋体" w:hAnsi="宋体"/>
        </w:rPr>
        <w:t>后规定的磋商有效期内撤回响应文件或成交后拒绝签订合同，我们的磋商保证金可被贵方没收。</w:t>
      </w:r>
    </w:p>
    <w:p>
      <w:pPr>
        <w:pStyle w:val="89"/>
        <w:spacing w:line="500" w:lineRule="exact"/>
        <w:ind w:firstLine="480" w:firstLineChars="200"/>
        <w:rPr>
          <w:rFonts w:ascii="宋体" w:hAnsi="宋体"/>
        </w:rPr>
      </w:pPr>
      <w:r>
        <w:rPr>
          <w:rFonts w:hint="eastAsia" w:ascii="宋体" w:hAnsi="宋体"/>
        </w:rPr>
        <w:t>5.同意向贵方提供贵方可能另外要求的与磋商采购有关的任何证据或资料，并保证我方已提供和将要提供的文件是真实的、准确的。</w:t>
      </w:r>
    </w:p>
    <w:p>
      <w:pPr>
        <w:pStyle w:val="89"/>
        <w:spacing w:line="500" w:lineRule="exact"/>
        <w:ind w:firstLine="480" w:firstLineChars="200"/>
        <w:rPr>
          <w:rFonts w:ascii="宋体" w:hAnsi="宋体"/>
        </w:rPr>
      </w:pPr>
      <w:r>
        <w:rPr>
          <w:rFonts w:hint="eastAsia" w:ascii="宋体" w:hAnsi="宋体"/>
        </w:rPr>
        <w:t>6.一旦我方成交，我方将根据磋商文件的规定，严格履行合同的责任和义务，并保证在磋商文件规定的时间完成项目，交付买方验收、使用。</w:t>
      </w:r>
    </w:p>
    <w:p>
      <w:pPr>
        <w:pStyle w:val="89"/>
        <w:spacing w:line="500" w:lineRule="exact"/>
        <w:ind w:firstLine="480" w:firstLineChars="200"/>
        <w:rPr>
          <w:rFonts w:ascii="宋体" w:hAnsi="宋体"/>
        </w:rPr>
      </w:pPr>
      <w:r>
        <w:rPr>
          <w:rFonts w:hint="eastAsia" w:ascii="宋体" w:hAnsi="宋体"/>
        </w:rPr>
        <w:t>7.遵守磋商文件中要求的收费项目和标准。</w:t>
      </w:r>
    </w:p>
    <w:p>
      <w:pPr>
        <w:pStyle w:val="89"/>
        <w:spacing w:line="500" w:lineRule="exact"/>
        <w:ind w:firstLine="480" w:firstLineChars="200"/>
        <w:rPr>
          <w:rFonts w:ascii="宋体" w:hAnsi="宋体"/>
        </w:rPr>
      </w:pPr>
      <w:r>
        <w:rPr>
          <w:rFonts w:hint="eastAsia" w:ascii="宋体" w:hAnsi="宋体"/>
        </w:rPr>
        <w:t>8.与本磋商采购有关的正式通讯地址为：</w:t>
      </w:r>
    </w:p>
    <w:p>
      <w:pPr>
        <w:pStyle w:val="89"/>
        <w:spacing w:line="500" w:lineRule="exact"/>
        <w:ind w:firstLine="480" w:firstLineChars="200"/>
        <w:rPr>
          <w:rFonts w:ascii="宋体" w:hAnsi="宋体"/>
        </w:rPr>
      </w:pPr>
    </w:p>
    <w:p>
      <w:pPr>
        <w:pStyle w:val="89"/>
        <w:spacing w:line="500" w:lineRule="exact"/>
        <w:ind w:firstLine="480" w:firstLineChars="200"/>
        <w:rPr>
          <w:rFonts w:ascii="宋体" w:hAnsi="宋体"/>
        </w:rPr>
      </w:pPr>
    </w:p>
    <w:p>
      <w:pPr>
        <w:pStyle w:val="89"/>
        <w:spacing w:line="500" w:lineRule="exact"/>
        <w:ind w:firstLine="480" w:firstLineChars="200"/>
        <w:rPr>
          <w:rFonts w:ascii="宋体" w:hAnsi="宋体"/>
        </w:rPr>
      </w:pPr>
      <w:r>
        <w:rPr>
          <w:rFonts w:hint="eastAsia" w:ascii="宋体" w:hAnsi="宋体"/>
        </w:rPr>
        <w:t>地 址：                               邮 编：</w:t>
      </w:r>
    </w:p>
    <w:p>
      <w:pPr>
        <w:pStyle w:val="89"/>
        <w:spacing w:line="500" w:lineRule="exact"/>
        <w:ind w:firstLine="480" w:firstLineChars="200"/>
        <w:rPr>
          <w:rFonts w:ascii="宋体" w:hAnsi="宋体"/>
        </w:rPr>
      </w:pPr>
      <w:r>
        <w:rPr>
          <w:rFonts w:hint="eastAsia" w:ascii="宋体" w:hAnsi="宋体"/>
        </w:rPr>
        <w:t>电 话：                               传 真：</w:t>
      </w:r>
    </w:p>
    <w:p>
      <w:pPr>
        <w:pStyle w:val="89"/>
        <w:spacing w:line="500" w:lineRule="exact"/>
        <w:ind w:firstLine="480" w:firstLineChars="200"/>
        <w:rPr>
          <w:rFonts w:ascii="宋体" w:hAnsi="宋体"/>
        </w:rPr>
      </w:pPr>
      <w:r>
        <w:rPr>
          <w:rFonts w:hint="eastAsia" w:ascii="宋体" w:hAnsi="宋体"/>
        </w:rPr>
        <w:t xml:space="preserve">供应商开户行：                        账 户： </w:t>
      </w:r>
    </w:p>
    <w:p>
      <w:pPr>
        <w:pStyle w:val="89"/>
        <w:spacing w:line="500" w:lineRule="exact"/>
        <w:ind w:firstLine="480" w:firstLineChars="200"/>
        <w:rPr>
          <w:rFonts w:ascii="宋体" w:hAnsi="宋体"/>
        </w:rPr>
      </w:pPr>
      <w:r>
        <w:rPr>
          <w:rFonts w:hint="eastAsia" w:ascii="宋体" w:hAnsi="宋体"/>
        </w:rPr>
        <w:t>法定代表人或授权代表姓名（签字）：     联系电话：</w:t>
      </w:r>
    </w:p>
    <w:p>
      <w:pPr>
        <w:pStyle w:val="89"/>
        <w:spacing w:line="500" w:lineRule="exact"/>
        <w:ind w:firstLine="480" w:firstLineChars="200"/>
        <w:rPr>
          <w:rFonts w:ascii="宋体" w:hAnsi="宋体"/>
        </w:rPr>
      </w:pPr>
      <w:r>
        <w:rPr>
          <w:rFonts w:hint="eastAsia" w:ascii="宋体" w:hAnsi="宋体"/>
        </w:rPr>
        <w:t>供应商名称（公章）：                   日 期：________年____月____日</w:t>
      </w:r>
    </w:p>
    <w:p>
      <w:pPr>
        <w:widowControl/>
        <w:jc w:val="left"/>
        <w:rPr>
          <w:rFonts w:ascii="宋体" w:hAnsi="宋体"/>
          <w:kern w:val="0"/>
          <w:sz w:val="28"/>
          <w:szCs w:val="28"/>
        </w:rPr>
      </w:pPr>
      <w:r>
        <w:rPr>
          <w:rFonts w:ascii="宋体" w:hAnsi="宋体"/>
          <w:sz w:val="24"/>
          <w:szCs w:val="24"/>
        </w:rPr>
        <w:br w:type="page"/>
      </w:r>
    </w:p>
    <w:p>
      <w:pPr>
        <w:rPr>
          <w:rFonts w:ascii="宋体" w:hAnsi="宋体"/>
          <w:b/>
          <w:sz w:val="36"/>
          <w:szCs w:val="36"/>
        </w:rPr>
      </w:pPr>
    </w:p>
    <w:p>
      <w:pPr>
        <w:ind w:firstLine="210"/>
        <w:jc w:val="center"/>
        <w:rPr>
          <w:rFonts w:ascii="宋体" w:hAnsi="宋体" w:cs="仿宋"/>
          <w:b/>
          <w:bCs/>
          <w:sz w:val="24"/>
          <w:szCs w:val="24"/>
        </w:rPr>
      </w:pPr>
      <w:r>
        <w:rPr>
          <w:rFonts w:hint="eastAsia" w:ascii="宋体" w:hAnsi="宋体" w:cs="仿宋"/>
          <w:b/>
          <w:bCs/>
          <w:sz w:val="24"/>
          <w:szCs w:val="24"/>
        </w:rPr>
        <w:t>4、无重大违法记录声明</w:t>
      </w:r>
    </w:p>
    <w:p>
      <w:pPr>
        <w:tabs>
          <w:tab w:val="left" w:pos="360"/>
        </w:tabs>
        <w:spacing w:line="500" w:lineRule="exact"/>
        <w:ind w:firstLine="480" w:firstLineChars="200"/>
        <w:rPr>
          <w:rFonts w:ascii="宋体" w:hAnsi="宋体"/>
          <w:bCs/>
          <w:sz w:val="24"/>
          <w:szCs w:val="24"/>
        </w:rPr>
      </w:pPr>
      <w:r>
        <w:rPr>
          <w:rFonts w:hint="eastAsia" w:ascii="宋体" w:hAnsi="宋体"/>
          <w:bCs/>
          <w:sz w:val="24"/>
          <w:szCs w:val="24"/>
        </w:rPr>
        <w:t>我公司郑重声明：参加本次政府采购活动前</w:t>
      </w:r>
      <w:r>
        <w:rPr>
          <w:rFonts w:ascii="宋体" w:hAnsi="宋体"/>
          <w:bCs/>
          <w:sz w:val="24"/>
          <w:szCs w:val="24"/>
        </w:rPr>
        <w:t xml:space="preserve"> 3 </w:t>
      </w:r>
      <w:r>
        <w:rPr>
          <w:rFonts w:hint="eastAsia" w:ascii="宋体" w:hAnsi="宋体"/>
          <w:bCs/>
          <w:sz w:val="24"/>
          <w:szCs w:val="24"/>
        </w:rPr>
        <w:t>年内，我公司在经营活动中没有因违法经营受到刑事处罚或者责令停产停业、吊销许可证或者执照、较大数额罚款等行政处罚。</w:t>
      </w:r>
    </w:p>
    <w:p>
      <w:pPr>
        <w:tabs>
          <w:tab w:val="left" w:pos="360"/>
        </w:tabs>
        <w:spacing w:line="500" w:lineRule="exact"/>
        <w:ind w:firstLine="480" w:firstLineChars="200"/>
        <w:rPr>
          <w:rFonts w:ascii="宋体" w:hAnsi="宋体"/>
          <w:bCs/>
          <w:sz w:val="24"/>
          <w:szCs w:val="24"/>
        </w:rPr>
      </w:pPr>
    </w:p>
    <w:p>
      <w:pPr>
        <w:tabs>
          <w:tab w:val="left" w:pos="360"/>
        </w:tabs>
        <w:spacing w:line="500" w:lineRule="exact"/>
        <w:ind w:firstLine="480" w:firstLineChars="200"/>
        <w:rPr>
          <w:rFonts w:ascii="宋体" w:hAnsi="宋体"/>
          <w:bCs/>
          <w:sz w:val="24"/>
          <w:szCs w:val="24"/>
        </w:rPr>
      </w:pPr>
      <w:r>
        <w:rPr>
          <w:rFonts w:hint="eastAsia" w:ascii="宋体" w:hAnsi="宋体"/>
          <w:bCs/>
          <w:sz w:val="24"/>
          <w:szCs w:val="24"/>
        </w:rPr>
        <w:t>供应商名称（公章）：</w:t>
      </w:r>
    </w:p>
    <w:p>
      <w:pPr>
        <w:tabs>
          <w:tab w:val="left" w:pos="360"/>
        </w:tabs>
        <w:spacing w:line="500" w:lineRule="exact"/>
        <w:ind w:firstLine="480" w:firstLineChars="200"/>
        <w:rPr>
          <w:rFonts w:ascii="宋体" w:hAnsi="宋体"/>
          <w:sz w:val="24"/>
          <w:szCs w:val="24"/>
        </w:rPr>
      </w:pPr>
      <w:r>
        <w:rPr>
          <w:rFonts w:hint="eastAsia" w:ascii="宋体" w:hAnsi="宋体"/>
          <w:bCs/>
          <w:sz w:val="24"/>
          <w:szCs w:val="24"/>
        </w:rPr>
        <w:t>授权代表签字</w:t>
      </w:r>
      <w:r>
        <w:rPr>
          <w:rFonts w:hint="eastAsia" w:ascii="宋体" w:hAnsi="宋体"/>
          <w:sz w:val="24"/>
          <w:szCs w:val="24"/>
        </w:rPr>
        <w:t>：</w:t>
      </w:r>
      <w:r>
        <w:rPr>
          <w:rFonts w:ascii="宋体" w:hAnsi="宋体"/>
          <w:sz w:val="24"/>
          <w:szCs w:val="24"/>
        </w:rPr>
        <w:t>_______________________</w:t>
      </w:r>
    </w:p>
    <w:p>
      <w:pPr>
        <w:spacing w:line="500" w:lineRule="exact"/>
        <w:ind w:firstLine="480" w:firstLineChars="200"/>
        <w:jc w:val="left"/>
        <w:rPr>
          <w:rFonts w:ascii="宋体" w:hAnsi="宋体"/>
          <w:sz w:val="24"/>
          <w:szCs w:val="24"/>
        </w:rPr>
      </w:pPr>
      <w:r>
        <w:rPr>
          <w:rFonts w:hint="eastAsia" w:ascii="宋体" w:hAnsi="宋体"/>
          <w:bCs/>
          <w:sz w:val="24"/>
          <w:szCs w:val="24"/>
        </w:rPr>
        <w:t>日期</w:t>
      </w:r>
      <w:r>
        <w:rPr>
          <w:rFonts w:hint="eastAsia" w:ascii="宋体" w:hAnsi="宋体"/>
          <w:sz w:val="24"/>
          <w:szCs w:val="24"/>
        </w:rPr>
        <w:t>：</w:t>
      </w:r>
      <w:r>
        <w:rPr>
          <w:rFonts w:ascii="宋体" w:hAnsi="宋体"/>
          <w:sz w:val="24"/>
          <w:szCs w:val="24"/>
        </w:rPr>
        <w:t>______</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outlineLvl w:val="1"/>
        <w:rPr>
          <w:rFonts w:ascii="宋体" w:hAnsi="宋体" w:eastAsia="宋体" w:cs="宋体"/>
          <w:bCs/>
          <w:color w:val="0D0D0D"/>
          <w:sz w:val="30"/>
          <w:szCs w:val="30"/>
        </w:rPr>
      </w:pPr>
    </w:p>
    <w:p>
      <w:pPr>
        <w:pStyle w:val="72"/>
        <w:spacing w:before="0" w:after="0" w:line="360" w:lineRule="auto"/>
        <w:jc w:val="both"/>
        <w:outlineLvl w:val="1"/>
        <w:rPr>
          <w:rFonts w:ascii="宋体" w:hAnsi="宋体" w:eastAsia="宋体" w:cs="宋体"/>
          <w:bCs/>
          <w:color w:val="0D0D0D"/>
          <w:sz w:val="30"/>
          <w:szCs w:val="30"/>
        </w:rPr>
      </w:pPr>
    </w:p>
    <w:p>
      <w:pPr>
        <w:spacing w:line="440" w:lineRule="exact"/>
        <w:jc w:val="center"/>
        <w:rPr>
          <w:rFonts w:ascii="宋体" w:hAnsi="宋体" w:cs="宋体"/>
          <w:bCs/>
          <w:color w:val="0D0D0D"/>
          <w:kern w:val="0"/>
          <w:sz w:val="32"/>
          <w:szCs w:val="32"/>
        </w:rPr>
      </w:pPr>
      <w:r>
        <w:rPr>
          <w:rFonts w:hint="eastAsia" w:ascii="宋体" w:hAnsi="宋体" w:cs="宋体"/>
          <w:bCs/>
          <w:color w:val="0D0D0D"/>
          <w:kern w:val="0"/>
          <w:sz w:val="32"/>
          <w:szCs w:val="32"/>
        </w:rPr>
        <w:t>第</w:t>
      </w:r>
      <w:r>
        <w:rPr>
          <w:rFonts w:hint="eastAsia" w:ascii="宋体" w:hAnsi="宋体" w:cs="宋体"/>
          <w:bCs/>
          <w:color w:val="0D0D0D"/>
          <w:kern w:val="0"/>
          <w:sz w:val="32"/>
          <w:szCs w:val="32"/>
          <w:lang w:eastAsia="zh-Hans"/>
        </w:rPr>
        <w:t>二</w:t>
      </w:r>
      <w:r>
        <w:rPr>
          <w:rFonts w:hint="eastAsia" w:ascii="宋体" w:hAnsi="宋体" w:cs="宋体"/>
          <w:bCs/>
          <w:color w:val="0D0D0D"/>
          <w:kern w:val="0"/>
          <w:sz w:val="32"/>
          <w:szCs w:val="32"/>
        </w:rPr>
        <w:t>部分  技术标主要内容</w:t>
      </w:r>
    </w:p>
    <w:p>
      <w:pPr>
        <w:spacing w:line="440" w:lineRule="exact"/>
        <w:jc w:val="center"/>
        <w:rPr>
          <w:rFonts w:ascii="宋体" w:hAnsi="宋体" w:cs="宋体"/>
          <w:bCs/>
          <w:color w:val="0D0D0D"/>
          <w:kern w:val="0"/>
          <w:sz w:val="32"/>
          <w:szCs w:val="32"/>
        </w:rPr>
      </w:pPr>
    </w:p>
    <w:p>
      <w:pPr>
        <w:pStyle w:val="85"/>
        <w:spacing w:line="420" w:lineRule="exact"/>
        <w:ind w:left="420" w:firstLine="0" w:firstLineChars="0"/>
        <w:jc w:val="center"/>
        <w:rPr>
          <w:rFonts w:ascii="宋体" w:hAnsi="宋体"/>
          <w:sz w:val="30"/>
          <w:szCs w:val="30"/>
        </w:rPr>
      </w:pPr>
      <w:r>
        <w:rPr>
          <w:rFonts w:hint="eastAsia" w:ascii="宋体" w:hAnsi="宋体"/>
          <w:sz w:val="32"/>
          <w:szCs w:val="32"/>
        </w:rPr>
        <w:t>目录（包括但不限于以下内容）</w:t>
      </w:r>
    </w:p>
    <w:p>
      <w:pPr>
        <w:pStyle w:val="85"/>
        <w:spacing w:line="420" w:lineRule="exact"/>
        <w:ind w:left="420" w:firstLine="0" w:firstLineChars="0"/>
        <w:jc w:val="center"/>
        <w:rPr>
          <w:rFonts w:ascii="宋体" w:hAnsi="宋体"/>
          <w:sz w:val="30"/>
          <w:szCs w:val="30"/>
        </w:rPr>
      </w:pPr>
    </w:p>
    <w:p>
      <w:pPr>
        <w:tabs>
          <w:tab w:val="left" w:pos="720"/>
        </w:tabs>
        <w:spacing w:line="460" w:lineRule="exact"/>
        <w:ind w:firstLine="480" w:firstLineChars="200"/>
        <w:outlineLvl w:val="2"/>
        <w:rPr>
          <w:rFonts w:ascii="宋体" w:hAnsi="宋体" w:cs="宋体"/>
          <w:sz w:val="24"/>
          <w:szCs w:val="24"/>
        </w:rPr>
      </w:pPr>
      <w:r>
        <w:rPr>
          <w:rFonts w:hint="eastAsia" w:ascii="宋体" w:hAnsi="宋体" w:cs="宋体"/>
          <w:sz w:val="24"/>
          <w:szCs w:val="24"/>
        </w:rPr>
        <w:t>1.</w:t>
      </w:r>
      <w:r>
        <w:rPr>
          <w:rFonts w:hint="eastAsia" w:ascii="宋体" w:hAnsi="宋体"/>
          <w:sz w:val="24"/>
          <w:szCs w:val="24"/>
        </w:rPr>
        <w:t xml:space="preserve"> </w:t>
      </w:r>
      <w:r>
        <w:rPr>
          <w:rFonts w:hint="eastAsia" w:ascii="宋体" w:hAnsi="宋体" w:cs="宋体"/>
          <w:sz w:val="24"/>
          <w:szCs w:val="24"/>
        </w:rPr>
        <w:t>技术标标书（应包括但不限于以下内容。不得出现报价，否则按无效标处理）：</w:t>
      </w:r>
    </w:p>
    <w:p>
      <w:pPr>
        <w:tabs>
          <w:tab w:val="left" w:pos="720"/>
        </w:tabs>
        <w:spacing w:line="460" w:lineRule="exact"/>
        <w:ind w:firstLine="480" w:firstLineChars="200"/>
        <w:outlineLvl w:val="2"/>
        <w:rPr>
          <w:rFonts w:ascii="宋体" w:hAnsi="宋体" w:cs="宋体"/>
          <w:sz w:val="24"/>
          <w:szCs w:val="24"/>
        </w:rPr>
      </w:pPr>
      <w:r>
        <w:rPr>
          <w:rFonts w:hint="eastAsia" w:ascii="宋体" w:hAnsi="宋体" w:cs="宋体"/>
          <w:sz w:val="24"/>
          <w:szCs w:val="24"/>
        </w:rPr>
        <w:t>（1）“技术标”中所须提供的材料。具体详见第四章磋商方法及标准详细评审技术商务标的相关要求，所有材料须加盖投标人公章。</w:t>
      </w:r>
    </w:p>
    <w:p>
      <w:pPr>
        <w:tabs>
          <w:tab w:val="left" w:pos="720"/>
        </w:tabs>
        <w:spacing w:line="460" w:lineRule="exact"/>
        <w:ind w:firstLine="480" w:firstLineChars="200"/>
        <w:outlineLvl w:val="2"/>
        <w:rPr>
          <w:rFonts w:ascii="宋体" w:hAnsi="宋体"/>
          <w:sz w:val="24"/>
          <w:szCs w:val="24"/>
        </w:rPr>
      </w:pPr>
      <w:r>
        <w:rPr>
          <w:rFonts w:hint="eastAsia" w:ascii="宋体" w:hAnsi="宋体" w:cs="宋体"/>
          <w:sz w:val="24"/>
          <w:szCs w:val="24"/>
        </w:rPr>
        <w:t>（2）各投标人请根据技术标评标办法的要求按顺序编制目录和页码范围。</w:t>
      </w:r>
    </w:p>
    <w:p>
      <w:pPr>
        <w:rPr>
          <w:rFonts w:ascii="宋体" w:hAnsi="宋体"/>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pStyle w:val="3"/>
        <w:rPr>
          <w:rFonts w:ascii="宋体" w:hAnsi="宋体" w:eastAsia="宋体"/>
        </w:rPr>
      </w:pPr>
    </w:p>
    <w:p>
      <w:pPr>
        <w:pStyle w:val="3"/>
        <w:rPr>
          <w:rFonts w:ascii="宋体" w:hAnsi="宋体" w:eastAsia="宋体"/>
        </w:rPr>
      </w:pPr>
    </w:p>
    <w:p>
      <w:pPr>
        <w:pStyle w:val="3"/>
        <w:rPr>
          <w:rFonts w:ascii="宋体" w:hAnsi="宋体" w:eastAsia="宋体"/>
        </w:rPr>
      </w:pPr>
    </w:p>
    <w:p>
      <w:pPr>
        <w:pStyle w:val="3"/>
        <w:rPr>
          <w:rFonts w:ascii="宋体" w:hAnsi="宋体" w:eastAsia="宋体"/>
        </w:rPr>
      </w:pPr>
    </w:p>
    <w:p>
      <w:pPr>
        <w:pStyle w:val="3"/>
        <w:rPr>
          <w:rFonts w:ascii="宋体" w:hAnsi="宋体" w:eastAsia="宋体"/>
        </w:rPr>
      </w:pPr>
    </w:p>
    <w:p>
      <w:pPr>
        <w:pStyle w:val="3"/>
        <w:rPr>
          <w:rFonts w:ascii="宋体" w:hAnsi="宋体" w:eastAsia="宋体"/>
        </w:rPr>
      </w:pPr>
    </w:p>
    <w:p>
      <w:pPr>
        <w:pStyle w:val="3"/>
        <w:rPr>
          <w:rFonts w:ascii="宋体" w:hAnsi="宋体" w:eastAsia="宋体"/>
        </w:rPr>
      </w:pPr>
    </w:p>
    <w:p>
      <w:pPr>
        <w:pStyle w:val="3"/>
        <w:rPr>
          <w:rFonts w:ascii="宋体" w:hAnsi="宋体" w:eastAsia="宋体"/>
        </w:rPr>
      </w:pPr>
    </w:p>
    <w:p>
      <w:pPr>
        <w:widowControl/>
        <w:jc w:val="center"/>
        <w:rPr>
          <w:rFonts w:ascii="宋体" w:hAnsi="宋体"/>
          <w:b/>
          <w:kern w:val="0"/>
          <w:sz w:val="28"/>
          <w:szCs w:val="28"/>
        </w:rPr>
      </w:pPr>
      <w:r>
        <w:rPr>
          <w:rFonts w:hint="eastAsia" w:ascii="宋体" w:hAnsi="宋体"/>
          <w:b/>
          <w:kern w:val="0"/>
          <w:sz w:val="28"/>
          <w:szCs w:val="28"/>
        </w:rPr>
        <w:t>1</w:t>
      </w:r>
      <w:r>
        <w:rPr>
          <w:rFonts w:ascii="宋体" w:hAnsi="宋体"/>
          <w:b/>
          <w:kern w:val="0"/>
          <w:sz w:val="28"/>
          <w:szCs w:val="28"/>
        </w:rPr>
        <w:t>、商务技术条款响应一览表</w:t>
      </w:r>
    </w:p>
    <w:p>
      <w:pPr>
        <w:spacing w:line="360" w:lineRule="auto"/>
        <w:jc w:val="left"/>
        <w:rPr>
          <w:rFonts w:ascii="宋体" w:hAnsi="宋体"/>
          <w:b/>
          <w:bCs/>
          <w:kern w:val="0"/>
          <w:sz w:val="24"/>
          <w:szCs w:val="24"/>
        </w:rPr>
      </w:pPr>
      <w:r>
        <w:rPr>
          <w:rFonts w:ascii="宋体" w:hAnsi="宋体"/>
          <w:b/>
          <w:bCs/>
          <w:kern w:val="0"/>
          <w:sz w:val="24"/>
          <w:szCs w:val="24"/>
        </w:rPr>
        <w:t>项目编号：</w:t>
      </w:r>
    </w:p>
    <w:tbl>
      <w:tblPr>
        <w:tblStyle w:val="30"/>
        <w:tblW w:w="967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2268"/>
        <w:gridCol w:w="2268"/>
        <w:gridCol w:w="162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24" w:type="dxa"/>
            <w:vAlign w:val="center"/>
          </w:tcPr>
          <w:p>
            <w:pPr>
              <w:spacing w:line="360" w:lineRule="auto"/>
              <w:jc w:val="center"/>
              <w:rPr>
                <w:rFonts w:ascii="宋体" w:hAnsi="宋体"/>
                <w:b/>
                <w:bCs/>
                <w:sz w:val="24"/>
                <w:szCs w:val="24"/>
              </w:rPr>
            </w:pPr>
            <w:r>
              <w:rPr>
                <w:rFonts w:ascii="宋体" w:hAnsi="宋体"/>
                <w:b/>
                <w:bCs/>
                <w:sz w:val="24"/>
                <w:szCs w:val="24"/>
              </w:rPr>
              <w:t>序号</w:t>
            </w:r>
          </w:p>
        </w:tc>
        <w:tc>
          <w:tcPr>
            <w:tcW w:w="1276" w:type="dxa"/>
            <w:tcBorders>
              <w:left w:val="nil"/>
            </w:tcBorders>
            <w:vAlign w:val="center"/>
          </w:tcPr>
          <w:p>
            <w:pPr>
              <w:spacing w:line="360" w:lineRule="auto"/>
              <w:ind w:left="31" w:leftChars="15"/>
              <w:jc w:val="center"/>
              <w:rPr>
                <w:rFonts w:ascii="宋体" w:hAnsi="宋体"/>
                <w:b/>
                <w:bCs/>
                <w:sz w:val="24"/>
                <w:szCs w:val="24"/>
              </w:rPr>
            </w:pPr>
            <w:r>
              <w:rPr>
                <w:rFonts w:ascii="宋体" w:hAnsi="宋体"/>
                <w:b/>
                <w:bCs/>
                <w:sz w:val="24"/>
                <w:szCs w:val="24"/>
              </w:rPr>
              <w:t>项目名称</w:t>
            </w:r>
          </w:p>
        </w:tc>
        <w:tc>
          <w:tcPr>
            <w:tcW w:w="2268" w:type="dxa"/>
            <w:tcBorders>
              <w:left w:val="nil"/>
            </w:tcBorders>
            <w:vAlign w:val="center"/>
          </w:tcPr>
          <w:p>
            <w:pPr>
              <w:spacing w:line="360" w:lineRule="auto"/>
              <w:jc w:val="center"/>
              <w:rPr>
                <w:rFonts w:ascii="宋体" w:hAnsi="宋体"/>
                <w:b/>
                <w:bCs/>
                <w:sz w:val="24"/>
                <w:szCs w:val="24"/>
              </w:rPr>
            </w:pPr>
            <w:r>
              <w:rPr>
                <w:rFonts w:ascii="宋体" w:hAnsi="宋体"/>
                <w:b/>
                <w:bCs/>
                <w:sz w:val="24"/>
                <w:szCs w:val="24"/>
              </w:rPr>
              <w:t>磋商文件的技术商务条款</w:t>
            </w:r>
          </w:p>
        </w:tc>
        <w:tc>
          <w:tcPr>
            <w:tcW w:w="2268" w:type="dxa"/>
            <w:tcBorders>
              <w:left w:val="nil"/>
            </w:tcBorders>
            <w:vAlign w:val="center"/>
          </w:tcPr>
          <w:p>
            <w:pPr>
              <w:spacing w:line="360" w:lineRule="auto"/>
              <w:jc w:val="center"/>
              <w:rPr>
                <w:rFonts w:ascii="宋体" w:hAnsi="宋体"/>
                <w:b/>
                <w:bCs/>
                <w:sz w:val="24"/>
                <w:szCs w:val="24"/>
              </w:rPr>
            </w:pPr>
            <w:r>
              <w:rPr>
                <w:rFonts w:ascii="宋体" w:hAnsi="宋体"/>
                <w:b/>
                <w:bCs/>
                <w:sz w:val="24"/>
                <w:szCs w:val="24"/>
              </w:rPr>
              <w:t>响应文件承诺的技术商务条款</w:t>
            </w:r>
          </w:p>
        </w:tc>
        <w:tc>
          <w:tcPr>
            <w:tcW w:w="1620" w:type="dxa"/>
            <w:tcBorders>
              <w:left w:val="nil"/>
            </w:tcBorders>
            <w:vAlign w:val="center"/>
          </w:tcPr>
          <w:p>
            <w:pPr>
              <w:spacing w:line="360" w:lineRule="auto"/>
              <w:jc w:val="center"/>
              <w:rPr>
                <w:rFonts w:ascii="宋体" w:hAnsi="宋体"/>
                <w:b/>
                <w:bCs/>
                <w:sz w:val="24"/>
                <w:szCs w:val="24"/>
              </w:rPr>
            </w:pPr>
            <w:r>
              <w:rPr>
                <w:rFonts w:ascii="宋体" w:hAnsi="宋体"/>
                <w:b/>
                <w:bCs/>
                <w:sz w:val="24"/>
                <w:szCs w:val="24"/>
              </w:rPr>
              <w:t>偏离情况</w:t>
            </w:r>
          </w:p>
        </w:tc>
        <w:tc>
          <w:tcPr>
            <w:tcW w:w="1215" w:type="dxa"/>
            <w:tcBorders>
              <w:left w:val="nil"/>
            </w:tcBorders>
            <w:vAlign w:val="center"/>
          </w:tcPr>
          <w:p>
            <w:pPr>
              <w:spacing w:line="360" w:lineRule="auto"/>
              <w:jc w:val="center"/>
              <w:rPr>
                <w:rFonts w:ascii="宋体" w:hAnsi="宋体"/>
                <w:b/>
                <w:bCs/>
                <w:sz w:val="24"/>
                <w:szCs w:val="24"/>
              </w:rPr>
            </w:pPr>
            <w:r>
              <w:rPr>
                <w:rFonts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pacing w:line="360" w:lineRule="auto"/>
              <w:jc w:val="center"/>
              <w:rPr>
                <w:rFonts w:ascii="宋体" w:hAnsi="宋体"/>
                <w:b/>
                <w:bCs/>
                <w:sz w:val="24"/>
                <w:szCs w:val="24"/>
              </w:rPr>
            </w:pPr>
          </w:p>
        </w:tc>
        <w:tc>
          <w:tcPr>
            <w:tcW w:w="1276" w:type="dxa"/>
            <w:tcBorders>
              <w:left w:val="nil"/>
            </w:tcBorders>
            <w:vAlign w:val="center"/>
          </w:tcPr>
          <w:p>
            <w:pPr>
              <w:spacing w:line="360" w:lineRule="auto"/>
              <w:jc w:val="center"/>
              <w:rPr>
                <w:rFonts w:ascii="宋体" w:hAnsi="宋体"/>
                <w:b/>
                <w:bCs/>
                <w:sz w:val="24"/>
                <w:szCs w:val="24"/>
              </w:rPr>
            </w:pPr>
          </w:p>
        </w:tc>
        <w:tc>
          <w:tcPr>
            <w:tcW w:w="2268" w:type="dxa"/>
            <w:tcBorders>
              <w:left w:val="nil"/>
            </w:tcBorders>
            <w:vAlign w:val="center"/>
          </w:tcPr>
          <w:p>
            <w:pPr>
              <w:adjustRightInd w:val="0"/>
              <w:spacing w:line="360" w:lineRule="auto"/>
              <w:ind w:right="-2" w:rightChars="-1" w:firstLine="434" w:firstLineChars="200"/>
              <w:rPr>
                <w:rFonts w:ascii="宋体" w:hAnsi="宋体"/>
                <w:b/>
                <w:bCs/>
                <w:spacing w:val="-12"/>
                <w:sz w:val="24"/>
                <w:szCs w:val="24"/>
              </w:rPr>
            </w:pPr>
          </w:p>
        </w:tc>
        <w:tc>
          <w:tcPr>
            <w:tcW w:w="2268" w:type="dxa"/>
            <w:tcBorders>
              <w:left w:val="nil"/>
            </w:tcBorders>
            <w:vAlign w:val="center"/>
          </w:tcPr>
          <w:p>
            <w:pPr>
              <w:spacing w:line="360" w:lineRule="auto"/>
              <w:jc w:val="center"/>
              <w:rPr>
                <w:rFonts w:ascii="宋体" w:hAnsi="宋体"/>
                <w:b/>
                <w:bCs/>
                <w:sz w:val="24"/>
                <w:szCs w:val="24"/>
              </w:rPr>
            </w:pPr>
          </w:p>
        </w:tc>
        <w:tc>
          <w:tcPr>
            <w:tcW w:w="1620" w:type="dxa"/>
            <w:tcBorders>
              <w:left w:val="nil"/>
            </w:tcBorders>
            <w:vAlign w:val="center"/>
          </w:tcPr>
          <w:p>
            <w:pPr>
              <w:spacing w:line="360" w:lineRule="auto"/>
              <w:jc w:val="center"/>
              <w:rPr>
                <w:rFonts w:ascii="宋体" w:hAnsi="宋体"/>
                <w:b/>
                <w:bCs/>
                <w:sz w:val="24"/>
                <w:szCs w:val="24"/>
              </w:rPr>
            </w:pPr>
          </w:p>
        </w:tc>
        <w:tc>
          <w:tcPr>
            <w:tcW w:w="1215" w:type="dxa"/>
            <w:tcBorders>
              <w:left w:val="nil"/>
            </w:tcBorders>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pacing w:line="360" w:lineRule="auto"/>
              <w:jc w:val="center"/>
              <w:rPr>
                <w:rFonts w:ascii="宋体" w:hAnsi="宋体"/>
                <w:b/>
                <w:bCs/>
                <w:sz w:val="24"/>
                <w:szCs w:val="24"/>
              </w:rPr>
            </w:pPr>
          </w:p>
        </w:tc>
        <w:tc>
          <w:tcPr>
            <w:tcW w:w="1276" w:type="dxa"/>
            <w:tcBorders>
              <w:left w:val="nil"/>
            </w:tcBorders>
            <w:vAlign w:val="center"/>
          </w:tcPr>
          <w:p>
            <w:pPr>
              <w:spacing w:line="360" w:lineRule="auto"/>
              <w:jc w:val="center"/>
              <w:rPr>
                <w:rFonts w:ascii="宋体" w:hAnsi="宋体"/>
                <w:b/>
                <w:bCs/>
                <w:sz w:val="24"/>
                <w:szCs w:val="24"/>
              </w:rPr>
            </w:pPr>
          </w:p>
        </w:tc>
        <w:tc>
          <w:tcPr>
            <w:tcW w:w="2268" w:type="dxa"/>
            <w:tcBorders>
              <w:left w:val="nil"/>
            </w:tcBorders>
            <w:vAlign w:val="center"/>
          </w:tcPr>
          <w:p>
            <w:pPr>
              <w:adjustRightInd w:val="0"/>
              <w:spacing w:line="360" w:lineRule="auto"/>
              <w:ind w:right="-2" w:rightChars="-1" w:firstLine="480" w:firstLineChars="200"/>
              <w:rPr>
                <w:rFonts w:ascii="宋体" w:hAnsi="宋体"/>
                <w:sz w:val="24"/>
                <w:szCs w:val="24"/>
              </w:rPr>
            </w:pPr>
          </w:p>
        </w:tc>
        <w:tc>
          <w:tcPr>
            <w:tcW w:w="2268" w:type="dxa"/>
            <w:tcBorders>
              <w:left w:val="nil"/>
            </w:tcBorders>
            <w:vAlign w:val="center"/>
          </w:tcPr>
          <w:p>
            <w:pPr>
              <w:spacing w:line="360" w:lineRule="auto"/>
              <w:jc w:val="center"/>
              <w:rPr>
                <w:rFonts w:ascii="宋体" w:hAnsi="宋体"/>
                <w:b/>
                <w:bCs/>
                <w:sz w:val="24"/>
                <w:szCs w:val="24"/>
              </w:rPr>
            </w:pPr>
          </w:p>
        </w:tc>
        <w:tc>
          <w:tcPr>
            <w:tcW w:w="1620" w:type="dxa"/>
            <w:tcBorders>
              <w:left w:val="nil"/>
            </w:tcBorders>
            <w:vAlign w:val="center"/>
          </w:tcPr>
          <w:p>
            <w:pPr>
              <w:spacing w:line="360" w:lineRule="auto"/>
              <w:jc w:val="center"/>
              <w:rPr>
                <w:rFonts w:ascii="宋体" w:hAnsi="宋体"/>
                <w:b/>
                <w:bCs/>
                <w:sz w:val="24"/>
                <w:szCs w:val="24"/>
              </w:rPr>
            </w:pPr>
          </w:p>
        </w:tc>
        <w:tc>
          <w:tcPr>
            <w:tcW w:w="1215" w:type="dxa"/>
            <w:tcBorders>
              <w:left w:val="nil"/>
            </w:tcBorders>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宋体" w:hAnsi="宋体"/>
                <w:b/>
                <w:bCs/>
                <w:sz w:val="24"/>
                <w:szCs w:val="24"/>
              </w:rPr>
            </w:pPr>
          </w:p>
        </w:tc>
        <w:tc>
          <w:tcPr>
            <w:tcW w:w="1276" w:type="dxa"/>
            <w:tcBorders>
              <w:left w:val="nil"/>
            </w:tcBorders>
            <w:vAlign w:val="center"/>
          </w:tcPr>
          <w:p>
            <w:pPr>
              <w:spacing w:line="360" w:lineRule="auto"/>
              <w:jc w:val="center"/>
              <w:rPr>
                <w:rFonts w:ascii="宋体" w:hAnsi="宋体"/>
                <w:b/>
                <w:bCs/>
                <w:sz w:val="24"/>
                <w:szCs w:val="24"/>
              </w:rPr>
            </w:pPr>
            <w:r>
              <w:rPr>
                <w:rFonts w:hint="eastAsia" w:ascii="宋体" w:hAnsi="宋体" w:cs="宋体"/>
                <w:b/>
                <w:bCs/>
                <w:sz w:val="24"/>
                <w:szCs w:val="24"/>
              </w:rPr>
              <w:t> </w:t>
            </w:r>
          </w:p>
        </w:tc>
        <w:tc>
          <w:tcPr>
            <w:tcW w:w="2268" w:type="dxa"/>
            <w:tcBorders>
              <w:left w:val="nil"/>
            </w:tcBorders>
            <w:vAlign w:val="center"/>
          </w:tcPr>
          <w:p>
            <w:pPr>
              <w:adjustRightInd w:val="0"/>
              <w:spacing w:line="360" w:lineRule="auto"/>
              <w:ind w:right="-2" w:rightChars="-1" w:firstLine="434" w:firstLineChars="200"/>
              <w:rPr>
                <w:rFonts w:ascii="宋体" w:hAnsi="宋体"/>
                <w:b/>
                <w:bCs/>
                <w:spacing w:val="-12"/>
                <w:sz w:val="24"/>
                <w:szCs w:val="24"/>
              </w:rPr>
            </w:pPr>
          </w:p>
        </w:tc>
        <w:tc>
          <w:tcPr>
            <w:tcW w:w="2268" w:type="dxa"/>
            <w:tcBorders>
              <w:left w:val="nil"/>
            </w:tcBorders>
            <w:vAlign w:val="center"/>
          </w:tcPr>
          <w:p>
            <w:pPr>
              <w:spacing w:line="360" w:lineRule="auto"/>
              <w:jc w:val="center"/>
              <w:rPr>
                <w:rFonts w:ascii="宋体" w:hAnsi="宋体"/>
                <w:b/>
                <w:bCs/>
                <w:sz w:val="24"/>
                <w:szCs w:val="24"/>
              </w:rPr>
            </w:pPr>
          </w:p>
        </w:tc>
        <w:tc>
          <w:tcPr>
            <w:tcW w:w="1620" w:type="dxa"/>
            <w:tcBorders>
              <w:left w:val="nil"/>
            </w:tcBorders>
            <w:vAlign w:val="center"/>
          </w:tcPr>
          <w:p>
            <w:pPr>
              <w:spacing w:line="360" w:lineRule="auto"/>
              <w:jc w:val="center"/>
              <w:rPr>
                <w:rFonts w:ascii="宋体" w:hAnsi="宋体"/>
                <w:b/>
                <w:bCs/>
                <w:sz w:val="24"/>
                <w:szCs w:val="24"/>
              </w:rPr>
            </w:pPr>
          </w:p>
        </w:tc>
        <w:tc>
          <w:tcPr>
            <w:tcW w:w="1215" w:type="dxa"/>
            <w:tcBorders>
              <w:left w:val="nil"/>
            </w:tcBorders>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宋体" w:hAnsi="宋体"/>
                <w:b/>
                <w:bCs/>
                <w:sz w:val="24"/>
                <w:szCs w:val="24"/>
              </w:rPr>
            </w:pPr>
          </w:p>
        </w:tc>
        <w:tc>
          <w:tcPr>
            <w:tcW w:w="1276" w:type="dxa"/>
            <w:tcBorders>
              <w:left w:val="nil"/>
            </w:tcBorders>
            <w:vAlign w:val="center"/>
          </w:tcPr>
          <w:p>
            <w:pPr>
              <w:spacing w:line="360" w:lineRule="auto"/>
              <w:jc w:val="center"/>
              <w:rPr>
                <w:rFonts w:ascii="宋体" w:hAnsi="宋体"/>
                <w:b/>
                <w:bCs/>
                <w:sz w:val="24"/>
                <w:szCs w:val="24"/>
              </w:rPr>
            </w:pPr>
          </w:p>
        </w:tc>
        <w:tc>
          <w:tcPr>
            <w:tcW w:w="2268" w:type="dxa"/>
            <w:tcBorders>
              <w:left w:val="nil"/>
            </w:tcBorders>
            <w:vAlign w:val="center"/>
          </w:tcPr>
          <w:p>
            <w:pPr>
              <w:adjustRightInd w:val="0"/>
              <w:spacing w:line="360" w:lineRule="auto"/>
              <w:ind w:right="-2" w:rightChars="-1" w:firstLine="480" w:firstLineChars="200"/>
              <w:rPr>
                <w:rFonts w:ascii="宋体" w:hAnsi="宋体"/>
                <w:sz w:val="24"/>
                <w:szCs w:val="24"/>
              </w:rPr>
            </w:pPr>
          </w:p>
        </w:tc>
        <w:tc>
          <w:tcPr>
            <w:tcW w:w="2268" w:type="dxa"/>
            <w:tcBorders>
              <w:left w:val="nil"/>
            </w:tcBorders>
            <w:vAlign w:val="center"/>
          </w:tcPr>
          <w:p>
            <w:pPr>
              <w:spacing w:line="360" w:lineRule="auto"/>
              <w:jc w:val="center"/>
              <w:rPr>
                <w:rFonts w:ascii="宋体" w:hAnsi="宋体"/>
                <w:b/>
                <w:bCs/>
                <w:sz w:val="24"/>
                <w:szCs w:val="24"/>
              </w:rPr>
            </w:pPr>
          </w:p>
        </w:tc>
        <w:tc>
          <w:tcPr>
            <w:tcW w:w="1620" w:type="dxa"/>
            <w:tcBorders>
              <w:left w:val="nil"/>
            </w:tcBorders>
            <w:vAlign w:val="center"/>
          </w:tcPr>
          <w:p>
            <w:pPr>
              <w:spacing w:line="360" w:lineRule="auto"/>
              <w:jc w:val="center"/>
              <w:rPr>
                <w:rFonts w:ascii="宋体" w:hAnsi="宋体"/>
                <w:b/>
                <w:bCs/>
                <w:sz w:val="24"/>
                <w:szCs w:val="24"/>
              </w:rPr>
            </w:pPr>
          </w:p>
        </w:tc>
        <w:tc>
          <w:tcPr>
            <w:tcW w:w="1215" w:type="dxa"/>
            <w:tcBorders>
              <w:left w:val="nil"/>
            </w:tcBorders>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宋体" w:hAnsi="宋体"/>
                <w:b/>
                <w:bCs/>
                <w:sz w:val="24"/>
                <w:szCs w:val="24"/>
              </w:rPr>
            </w:pPr>
          </w:p>
        </w:tc>
        <w:tc>
          <w:tcPr>
            <w:tcW w:w="1276" w:type="dxa"/>
            <w:tcBorders>
              <w:left w:val="nil"/>
            </w:tcBorders>
            <w:vAlign w:val="center"/>
          </w:tcPr>
          <w:p>
            <w:pPr>
              <w:spacing w:line="360" w:lineRule="auto"/>
              <w:jc w:val="center"/>
              <w:rPr>
                <w:rFonts w:ascii="宋体" w:hAnsi="宋体"/>
                <w:b/>
                <w:bCs/>
                <w:sz w:val="24"/>
                <w:szCs w:val="24"/>
              </w:rPr>
            </w:pPr>
          </w:p>
        </w:tc>
        <w:tc>
          <w:tcPr>
            <w:tcW w:w="2268" w:type="dxa"/>
            <w:tcBorders>
              <w:left w:val="nil"/>
            </w:tcBorders>
            <w:vAlign w:val="center"/>
          </w:tcPr>
          <w:p>
            <w:pPr>
              <w:adjustRightInd w:val="0"/>
              <w:spacing w:line="360" w:lineRule="auto"/>
              <w:ind w:right="-2" w:rightChars="-1" w:firstLine="480" w:firstLineChars="200"/>
              <w:rPr>
                <w:rFonts w:ascii="宋体" w:hAnsi="宋体"/>
                <w:sz w:val="24"/>
                <w:szCs w:val="24"/>
              </w:rPr>
            </w:pPr>
          </w:p>
        </w:tc>
        <w:tc>
          <w:tcPr>
            <w:tcW w:w="2268" w:type="dxa"/>
            <w:tcBorders>
              <w:left w:val="nil"/>
            </w:tcBorders>
            <w:vAlign w:val="center"/>
          </w:tcPr>
          <w:p>
            <w:pPr>
              <w:spacing w:line="360" w:lineRule="auto"/>
              <w:jc w:val="center"/>
              <w:rPr>
                <w:rFonts w:ascii="宋体" w:hAnsi="宋体"/>
                <w:b/>
                <w:bCs/>
                <w:sz w:val="24"/>
                <w:szCs w:val="24"/>
              </w:rPr>
            </w:pPr>
          </w:p>
        </w:tc>
        <w:tc>
          <w:tcPr>
            <w:tcW w:w="1620" w:type="dxa"/>
            <w:tcBorders>
              <w:left w:val="nil"/>
            </w:tcBorders>
            <w:vAlign w:val="center"/>
          </w:tcPr>
          <w:p>
            <w:pPr>
              <w:spacing w:line="360" w:lineRule="auto"/>
              <w:jc w:val="center"/>
              <w:rPr>
                <w:rFonts w:ascii="宋体" w:hAnsi="宋体"/>
                <w:b/>
                <w:bCs/>
                <w:sz w:val="24"/>
                <w:szCs w:val="24"/>
              </w:rPr>
            </w:pPr>
          </w:p>
        </w:tc>
        <w:tc>
          <w:tcPr>
            <w:tcW w:w="1215" w:type="dxa"/>
            <w:tcBorders>
              <w:left w:val="nil"/>
            </w:tcBorders>
            <w:vAlign w:val="center"/>
          </w:tcPr>
          <w:p>
            <w:pPr>
              <w:spacing w:line="360" w:lineRule="auto"/>
              <w:jc w:val="center"/>
              <w:rPr>
                <w:rFonts w:ascii="宋体" w:hAnsi="宋体"/>
                <w:b/>
                <w:bCs/>
                <w:sz w:val="24"/>
                <w:szCs w:val="24"/>
              </w:rPr>
            </w:pPr>
          </w:p>
        </w:tc>
      </w:tr>
    </w:tbl>
    <w:p>
      <w:pPr>
        <w:snapToGrid w:val="0"/>
        <w:spacing w:line="360" w:lineRule="auto"/>
        <w:jc w:val="center"/>
        <w:outlineLvl w:val="0"/>
        <w:rPr>
          <w:rFonts w:ascii="宋体" w:hAnsi="宋体" w:cs="宋体"/>
          <w:bCs/>
          <w:color w:val="0D0D0D"/>
          <w:sz w:val="30"/>
          <w:szCs w:val="30"/>
        </w:rPr>
      </w:pPr>
    </w:p>
    <w:p>
      <w:pPr>
        <w:spacing w:line="360" w:lineRule="auto"/>
        <w:rPr>
          <w:rFonts w:ascii="宋体" w:hAnsi="宋体"/>
          <w:sz w:val="24"/>
          <w:szCs w:val="24"/>
        </w:rPr>
      </w:pPr>
      <w:r>
        <w:rPr>
          <w:rFonts w:ascii="宋体" w:hAnsi="宋体"/>
          <w:sz w:val="24"/>
          <w:szCs w:val="24"/>
        </w:rPr>
        <w:t>注：</w:t>
      </w:r>
    </w:p>
    <w:p>
      <w:pPr>
        <w:spacing w:line="360" w:lineRule="auto"/>
        <w:ind w:firstLine="480" w:firstLineChars="200"/>
        <w:rPr>
          <w:rFonts w:ascii="宋体" w:hAnsi="宋体"/>
          <w:sz w:val="24"/>
          <w:szCs w:val="24"/>
        </w:rPr>
      </w:pPr>
      <w:r>
        <w:rPr>
          <w:rFonts w:ascii="宋体" w:hAnsi="宋体"/>
          <w:sz w:val="24"/>
          <w:szCs w:val="24"/>
        </w:rPr>
        <w:t>1、请逐条对应本项目磋商文件第六章“磋商内容及要求”中技术商务条款的要求，认真填写该表。</w:t>
      </w:r>
    </w:p>
    <w:p>
      <w:pPr>
        <w:spacing w:line="360" w:lineRule="auto"/>
        <w:ind w:firstLine="480" w:firstLineChars="200"/>
        <w:rPr>
          <w:rFonts w:ascii="宋体" w:hAnsi="宋体"/>
          <w:sz w:val="24"/>
          <w:szCs w:val="24"/>
        </w:rPr>
      </w:pPr>
      <w:r>
        <w:rPr>
          <w:rFonts w:ascii="宋体" w:hAnsi="宋体"/>
          <w:sz w:val="24"/>
          <w:szCs w:val="24"/>
        </w:rPr>
        <w:t>2、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pPr>
        <w:spacing w:line="360" w:lineRule="auto"/>
        <w:ind w:firstLine="480" w:firstLineChars="200"/>
        <w:rPr>
          <w:rFonts w:ascii="宋体" w:hAnsi="宋体"/>
          <w:sz w:val="24"/>
          <w:szCs w:val="24"/>
        </w:rPr>
      </w:pPr>
      <w:r>
        <w:rPr>
          <w:rFonts w:ascii="宋体" w:hAnsi="宋体"/>
          <w:sz w:val="24"/>
          <w:szCs w:val="24"/>
        </w:rPr>
        <w:t>3、本表如有多页，应逐页加盖公章。</w:t>
      </w:r>
    </w:p>
    <w:p>
      <w:pPr>
        <w:spacing w:line="360" w:lineRule="auto"/>
        <w:rPr>
          <w:rFonts w:ascii="宋体" w:hAnsi="宋体"/>
          <w:kern w:val="0"/>
          <w:sz w:val="24"/>
          <w:szCs w:val="24"/>
        </w:rPr>
      </w:pPr>
    </w:p>
    <w:p>
      <w:pPr>
        <w:spacing w:line="360" w:lineRule="auto"/>
        <w:rPr>
          <w:rFonts w:ascii="宋体" w:hAnsi="宋体"/>
          <w:kern w:val="0"/>
          <w:sz w:val="24"/>
          <w:szCs w:val="24"/>
        </w:rPr>
      </w:pPr>
      <w:r>
        <w:rPr>
          <w:rFonts w:ascii="宋体" w:hAnsi="宋体"/>
          <w:kern w:val="0"/>
          <w:sz w:val="24"/>
          <w:szCs w:val="24"/>
        </w:rPr>
        <w:t>磋商供应商（全称并加盖公章）：</w:t>
      </w:r>
    </w:p>
    <w:p>
      <w:pPr>
        <w:rPr>
          <w:rFonts w:ascii="宋体" w:hAnsi="宋体"/>
          <w:kern w:val="0"/>
          <w:sz w:val="28"/>
          <w:szCs w:val="20"/>
        </w:rPr>
      </w:pPr>
    </w:p>
    <w:p>
      <w:pPr>
        <w:spacing w:line="360" w:lineRule="auto"/>
        <w:rPr>
          <w:rFonts w:ascii="宋体" w:hAnsi="宋体"/>
          <w:sz w:val="24"/>
          <w:szCs w:val="24"/>
        </w:rPr>
      </w:pPr>
      <w:r>
        <w:rPr>
          <w:rFonts w:ascii="宋体" w:hAnsi="宋体"/>
          <w:sz w:val="24"/>
          <w:szCs w:val="24"/>
        </w:rPr>
        <w:t>磋商供应商授权代表签字：</w:t>
      </w:r>
    </w:p>
    <w:p>
      <w:pPr>
        <w:pStyle w:val="72"/>
        <w:spacing w:before="0" w:after="0" w:line="360" w:lineRule="auto"/>
        <w:outlineLvl w:val="1"/>
        <w:rPr>
          <w:rFonts w:ascii="宋体" w:hAnsi="宋体" w:eastAsia="宋体" w:cs="宋体"/>
          <w:bCs/>
          <w:color w:val="0D0D0D"/>
          <w:szCs w:val="32"/>
        </w:rPr>
      </w:pPr>
      <w:r>
        <w:rPr>
          <w:rFonts w:ascii="宋体" w:hAnsi="宋体" w:eastAsia="宋体" w:cs="宋体"/>
          <w:bCs/>
          <w:color w:val="0D0D0D"/>
          <w:sz w:val="30"/>
          <w:szCs w:val="30"/>
        </w:rPr>
        <w:br w:type="page"/>
      </w:r>
      <w:r>
        <w:rPr>
          <w:rFonts w:hint="eastAsia" w:ascii="宋体" w:hAnsi="宋体" w:eastAsia="宋体" w:cs="宋体"/>
          <w:bCs/>
          <w:color w:val="0D0D0D"/>
          <w:szCs w:val="32"/>
        </w:rPr>
        <w:t>第三部分  报价标文件</w:t>
      </w:r>
    </w:p>
    <w:p>
      <w:pPr>
        <w:spacing w:line="440" w:lineRule="exact"/>
        <w:jc w:val="center"/>
        <w:rPr>
          <w:rFonts w:ascii="宋体" w:hAnsi="宋体" w:cs="宋体"/>
          <w:color w:val="0D0D0D"/>
          <w:sz w:val="32"/>
          <w:szCs w:val="32"/>
        </w:rPr>
      </w:pPr>
    </w:p>
    <w:p>
      <w:pPr>
        <w:spacing w:line="440" w:lineRule="exact"/>
        <w:jc w:val="center"/>
        <w:rPr>
          <w:rFonts w:ascii="宋体" w:hAnsi="宋体" w:cs="宋体"/>
          <w:b/>
          <w:bCs/>
          <w:color w:val="0D0D0D"/>
          <w:sz w:val="24"/>
          <w:szCs w:val="24"/>
        </w:rPr>
      </w:pPr>
      <w:r>
        <w:rPr>
          <w:rFonts w:hint="eastAsia" w:ascii="宋体" w:hAnsi="宋体" w:cs="宋体"/>
          <w:color w:val="0D0D0D"/>
          <w:sz w:val="24"/>
          <w:szCs w:val="24"/>
        </w:rPr>
        <w:t>目   录</w:t>
      </w:r>
    </w:p>
    <w:p>
      <w:pPr>
        <w:tabs>
          <w:tab w:val="left" w:pos="900"/>
        </w:tabs>
        <w:spacing w:after="160" w:afterLines="50" w:line="460" w:lineRule="exact"/>
        <w:jc w:val="left"/>
        <w:rPr>
          <w:rFonts w:ascii="宋体" w:hAnsi="宋体"/>
          <w:sz w:val="24"/>
          <w:szCs w:val="24"/>
        </w:rPr>
      </w:pPr>
      <w:r>
        <w:rPr>
          <w:rFonts w:hint="eastAsia" w:ascii="宋体" w:hAnsi="宋体"/>
          <w:sz w:val="24"/>
          <w:szCs w:val="24"/>
        </w:rPr>
        <w:t>1. 磋商响应报价（首次）总表；</w:t>
      </w:r>
    </w:p>
    <w:p>
      <w:pPr>
        <w:pStyle w:val="80"/>
        <w:ind w:firstLine="0"/>
        <w:rPr>
          <w:b/>
          <w:bCs/>
          <w:sz w:val="24"/>
        </w:rPr>
      </w:pPr>
      <w:r>
        <w:rPr>
          <w:rFonts w:hint="eastAsia"/>
          <w:sz w:val="24"/>
        </w:rPr>
        <w:t>2. 磋商响应最终报价表（空白）（现场磋商后，第二次报价用）；</w:t>
      </w: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widowControl/>
        <w:jc w:val="center"/>
        <w:rPr>
          <w:rFonts w:ascii="宋体" w:hAnsi="宋体"/>
          <w:b/>
          <w:sz w:val="24"/>
          <w:szCs w:val="24"/>
        </w:rPr>
      </w:pPr>
      <w:bookmarkStart w:id="99" w:name="_Toc482192408"/>
      <w:bookmarkStart w:id="100" w:name="_Toc482189594"/>
      <w:r>
        <w:rPr>
          <w:rFonts w:ascii="宋体" w:hAnsi="宋体"/>
        </w:rPr>
        <w:br w:type="page"/>
      </w:r>
      <w:r>
        <w:rPr>
          <w:rFonts w:hint="eastAsia" w:ascii="宋体" w:hAnsi="宋体"/>
          <w:b/>
          <w:kern w:val="0"/>
          <w:sz w:val="24"/>
          <w:szCs w:val="24"/>
        </w:rPr>
        <w:t>1.</w:t>
      </w:r>
      <w:bookmarkEnd w:id="99"/>
      <w:bookmarkEnd w:id="100"/>
      <w:r>
        <w:rPr>
          <w:rFonts w:hint="eastAsia" w:ascii="宋体" w:hAnsi="宋体"/>
          <w:b/>
          <w:kern w:val="0"/>
          <w:sz w:val="24"/>
          <w:szCs w:val="24"/>
        </w:rPr>
        <w:t xml:space="preserve"> 磋商响应报价（首次）总表</w:t>
      </w:r>
    </w:p>
    <w:p>
      <w:pPr>
        <w:pStyle w:val="80"/>
        <w:rPr>
          <w:sz w:val="24"/>
        </w:rPr>
      </w:pPr>
    </w:p>
    <w:p>
      <w:pPr>
        <w:widowControl/>
        <w:rPr>
          <w:rFonts w:ascii="宋体" w:hAnsi="宋体" w:cs="宋体"/>
          <w:bCs/>
          <w:sz w:val="24"/>
          <w:szCs w:val="24"/>
        </w:rPr>
      </w:pPr>
      <w:r>
        <w:rPr>
          <w:rFonts w:hint="eastAsia" w:ascii="宋体" w:hAnsi="宋体" w:cs="宋体"/>
          <w:bCs/>
          <w:sz w:val="24"/>
          <w:szCs w:val="24"/>
        </w:rPr>
        <w:t xml:space="preserve">项目名称： </w:t>
      </w:r>
    </w:p>
    <w:p>
      <w:pPr>
        <w:snapToGrid w:val="0"/>
        <w:spacing w:line="420" w:lineRule="exact"/>
        <w:ind w:left="1214" w:hanging="1214" w:hangingChars="506"/>
        <w:rPr>
          <w:rFonts w:ascii="宋体" w:hAnsi="宋体" w:cs="宋体"/>
          <w:bCs/>
          <w:sz w:val="24"/>
          <w:szCs w:val="24"/>
        </w:rPr>
      </w:pPr>
      <w:r>
        <w:rPr>
          <w:rFonts w:hint="eastAsia" w:ascii="宋体" w:hAnsi="宋体" w:cs="宋体"/>
          <w:bCs/>
          <w:sz w:val="24"/>
          <w:szCs w:val="24"/>
        </w:rPr>
        <w:t xml:space="preserve">项目编号：   </w:t>
      </w:r>
    </w:p>
    <w:p>
      <w:pPr>
        <w:snapToGrid w:val="0"/>
        <w:spacing w:line="420" w:lineRule="exact"/>
        <w:ind w:left="1214" w:hanging="1214" w:hangingChars="506"/>
        <w:rPr>
          <w:rFonts w:ascii="宋体" w:hAnsi="宋体" w:cs="宋体"/>
          <w:bCs/>
          <w:sz w:val="24"/>
          <w:szCs w:val="24"/>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6"/>
        <w:gridCol w:w="5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宋体" w:hAnsi="宋体"/>
                <w:b/>
                <w:sz w:val="24"/>
                <w:szCs w:val="24"/>
                <w:lang w:eastAsia="en-US"/>
              </w:rPr>
            </w:pPr>
            <w:r>
              <w:rPr>
                <w:rFonts w:hint="eastAsia" w:ascii="宋体" w:hAnsi="宋体"/>
                <w:b/>
                <w:sz w:val="24"/>
                <w:szCs w:val="24"/>
                <w:lang w:eastAsia="en-US"/>
              </w:rPr>
              <w:t>项目名称</w:t>
            </w:r>
          </w:p>
        </w:tc>
        <w:tc>
          <w:tcPr>
            <w:tcW w:w="5768"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宋体" w:hAnsi="宋体"/>
                <w:b/>
                <w:sz w:val="24"/>
                <w:szCs w:val="24"/>
              </w:rPr>
            </w:pPr>
            <w:r>
              <w:rPr>
                <w:rFonts w:hint="eastAsia" w:ascii="宋体" w:hAnsi="宋体"/>
                <w:b/>
                <w:sz w:val="24"/>
                <w:szCs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9"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spacing w:line="520" w:lineRule="exact"/>
              <w:ind w:left="1"/>
              <w:jc w:val="left"/>
              <w:textAlignment w:val="bottom"/>
              <w:rPr>
                <w:rFonts w:ascii="宋体" w:hAnsi="宋体" w:cs="宋体"/>
                <w:b/>
                <w:bCs/>
                <w:kern w:val="0"/>
                <w:sz w:val="24"/>
                <w:szCs w:val="24"/>
              </w:rPr>
            </w:pPr>
          </w:p>
        </w:tc>
        <w:tc>
          <w:tcPr>
            <w:tcW w:w="5768"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rPr>
                <w:rFonts w:ascii="宋体" w:hAnsi="宋体"/>
                <w:b/>
                <w:sz w:val="24"/>
                <w:szCs w:val="24"/>
              </w:rPr>
            </w:pPr>
            <w:r>
              <w:rPr>
                <w:rFonts w:hint="eastAsia" w:ascii="宋体" w:hAnsi="宋体"/>
                <w:b/>
                <w:sz w:val="24"/>
                <w:szCs w:val="24"/>
              </w:rPr>
              <w:t>大写：</w:t>
            </w:r>
          </w:p>
          <w:p>
            <w:pPr>
              <w:snapToGrid w:val="0"/>
              <w:spacing w:line="420" w:lineRule="exact"/>
              <w:ind w:left="1137" w:hanging="1137" w:hangingChars="472"/>
              <w:rPr>
                <w:rFonts w:ascii="宋体" w:hAnsi="宋体"/>
                <w:sz w:val="24"/>
                <w:szCs w:val="24"/>
                <w:u w:val="single"/>
              </w:rPr>
            </w:pPr>
            <w:r>
              <w:rPr>
                <w:rFonts w:hint="eastAsia" w:ascii="宋体" w:hAnsi="宋体"/>
                <w:b/>
                <w:sz w:val="24"/>
                <w:szCs w:val="24"/>
              </w:rPr>
              <w:t>小写：</w:t>
            </w:r>
          </w:p>
        </w:tc>
      </w:tr>
    </w:tbl>
    <w:p>
      <w:pPr>
        <w:rPr>
          <w:rFonts w:ascii="宋体" w:hAnsi="宋体"/>
          <w:sz w:val="24"/>
          <w:szCs w:val="24"/>
        </w:rPr>
      </w:pPr>
    </w:p>
    <w:p>
      <w:pPr>
        <w:spacing w:line="480" w:lineRule="auto"/>
        <w:rPr>
          <w:rFonts w:ascii="宋体" w:hAnsi="宋体" w:cs="宋体"/>
          <w:sz w:val="24"/>
          <w:szCs w:val="24"/>
        </w:rPr>
      </w:pPr>
      <w:r>
        <w:rPr>
          <w:rFonts w:hint="eastAsia" w:ascii="宋体" w:hAnsi="宋体" w:cs="宋体"/>
          <w:sz w:val="24"/>
          <w:szCs w:val="24"/>
        </w:rPr>
        <w:t>法定代表人或者授权代表（签字或盖章）：</w:t>
      </w:r>
    </w:p>
    <w:p>
      <w:pPr>
        <w:spacing w:line="480" w:lineRule="auto"/>
        <w:rPr>
          <w:rFonts w:ascii="宋体" w:hAnsi="宋体" w:cs="宋体"/>
          <w:sz w:val="24"/>
          <w:szCs w:val="24"/>
          <w:u w:val="single"/>
        </w:rPr>
      </w:pPr>
      <w:r>
        <w:rPr>
          <w:rFonts w:hint="eastAsia" w:ascii="宋体" w:hAnsi="宋体" w:cs="宋体"/>
          <w:sz w:val="24"/>
          <w:szCs w:val="24"/>
        </w:rPr>
        <w:t>磋商供应商全称（盖章）：</w:t>
      </w:r>
    </w:p>
    <w:p>
      <w:pPr>
        <w:spacing w:line="480" w:lineRule="auto"/>
        <w:rPr>
          <w:rFonts w:ascii="宋体" w:hAnsi="宋体"/>
          <w:sz w:val="24"/>
          <w:szCs w:val="24"/>
        </w:rPr>
      </w:pPr>
      <w:r>
        <w:rPr>
          <w:rFonts w:hint="eastAsia" w:ascii="宋体" w:hAnsi="宋体" w:cs="宋体"/>
          <w:sz w:val="24"/>
          <w:szCs w:val="24"/>
        </w:rPr>
        <w:t>日期：    年   月   日</w:t>
      </w:r>
    </w:p>
    <w:p>
      <w:pPr>
        <w:widowControl/>
        <w:jc w:val="center"/>
        <w:rPr>
          <w:rFonts w:ascii="宋体" w:hAnsi="宋体"/>
        </w:rPr>
      </w:pPr>
      <w:bookmarkStart w:id="101" w:name="_Toc501715523"/>
      <w:bookmarkStart w:id="102" w:name="_Toc503427081"/>
      <w:r>
        <w:rPr>
          <w:rFonts w:ascii="宋体" w:hAnsi="宋体"/>
          <w:b/>
          <w:kern w:val="0"/>
          <w:sz w:val="28"/>
          <w:szCs w:val="28"/>
        </w:rPr>
        <w:br w:type="page"/>
      </w:r>
      <w:bookmarkEnd w:id="101"/>
      <w:bookmarkEnd w:id="102"/>
    </w:p>
    <w:p>
      <w:pPr>
        <w:jc w:val="center"/>
        <w:rPr>
          <w:rFonts w:ascii="宋体" w:hAnsi="宋体"/>
          <w:b/>
          <w:kern w:val="0"/>
          <w:sz w:val="24"/>
          <w:szCs w:val="24"/>
        </w:rPr>
      </w:pPr>
      <w:r>
        <w:rPr>
          <w:rFonts w:hint="eastAsia" w:ascii="宋体" w:hAnsi="宋体"/>
          <w:b/>
          <w:kern w:val="0"/>
          <w:sz w:val="24"/>
          <w:szCs w:val="24"/>
        </w:rPr>
        <w:t>2.磋商响应最终报价表</w:t>
      </w:r>
    </w:p>
    <w:p>
      <w:pPr>
        <w:snapToGrid w:val="0"/>
        <w:spacing w:line="520" w:lineRule="exact"/>
        <w:rPr>
          <w:rFonts w:ascii="宋体" w:hAnsi="宋体"/>
          <w:sz w:val="24"/>
          <w:szCs w:val="24"/>
        </w:rPr>
      </w:pPr>
      <w:r>
        <w:rPr>
          <w:rFonts w:hint="eastAsia" w:ascii="宋体" w:hAnsi="宋体"/>
          <w:sz w:val="24"/>
          <w:szCs w:val="24"/>
        </w:rPr>
        <w:t>项目名称：</w:t>
      </w:r>
      <w:r>
        <w:rPr>
          <w:rFonts w:ascii="宋体" w:hAnsi="宋体"/>
          <w:sz w:val="24"/>
          <w:szCs w:val="24"/>
        </w:rPr>
        <w:t xml:space="preserve"> </w:t>
      </w:r>
    </w:p>
    <w:p>
      <w:pPr>
        <w:snapToGrid w:val="0"/>
        <w:spacing w:line="520" w:lineRule="exact"/>
        <w:rPr>
          <w:rFonts w:ascii="宋体" w:hAnsi="宋体"/>
          <w:sz w:val="24"/>
          <w:szCs w:val="24"/>
        </w:rPr>
      </w:pPr>
      <w:r>
        <w:rPr>
          <w:rFonts w:hint="eastAsia" w:ascii="宋体" w:hAnsi="宋体"/>
          <w:sz w:val="24"/>
          <w:szCs w:val="24"/>
        </w:rPr>
        <w:t xml:space="preserve">项目编号：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50" w:type="dxa"/>
            <w:vMerge w:val="restart"/>
            <w:vAlign w:val="center"/>
          </w:tcPr>
          <w:p>
            <w:pPr>
              <w:spacing w:line="360" w:lineRule="auto"/>
              <w:jc w:val="center"/>
              <w:rPr>
                <w:rFonts w:ascii="宋体" w:hAnsi="宋体"/>
                <w:color w:val="000000"/>
                <w:sz w:val="24"/>
                <w:szCs w:val="24"/>
              </w:rPr>
            </w:pPr>
            <w:r>
              <w:rPr>
                <w:rFonts w:hint="eastAsia" w:ascii="宋体" w:hAnsi="宋体"/>
                <w:b/>
                <w:color w:val="000000"/>
                <w:sz w:val="24"/>
                <w:szCs w:val="24"/>
              </w:rPr>
              <w:t>磋商响应报价</w:t>
            </w:r>
          </w:p>
        </w:tc>
        <w:tc>
          <w:tcPr>
            <w:tcW w:w="6546" w:type="dxa"/>
            <w:vAlign w:val="center"/>
          </w:tcPr>
          <w:p>
            <w:pPr>
              <w:spacing w:line="360" w:lineRule="auto"/>
              <w:jc w:val="left"/>
              <w:rPr>
                <w:rFonts w:ascii="宋体" w:hAnsi="宋体"/>
                <w:color w:val="000000"/>
                <w:sz w:val="24"/>
                <w:szCs w:val="24"/>
                <w:u w:val="single"/>
              </w:rPr>
            </w:pPr>
            <w:r>
              <w:rPr>
                <w:rFonts w:hint="eastAsia" w:ascii="宋体" w:hAnsi="宋体"/>
                <w:color w:val="000000"/>
                <w:sz w:val="24"/>
                <w:szCs w:val="24"/>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50" w:type="dxa"/>
            <w:vMerge w:val="continue"/>
            <w:vAlign w:val="center"/>
          </w:tcPr>
          <w:p>
            <w:pPr>
              <w:spacing w:line="480" w:lineRule="auto"/>
              <w:jc w:val="center"/>
              <w:rPr>
                <w:rFonts w:ascii="宋体" w:hAnsi="宋体"/>
                <w:color w:val="000000"/>
                <w:sz w:val="24"/>
                <w:szCs w:val="24"/>
              </w:rPr>
            </w:pPr>
          </w:p>
        </w:tc>
        <w:tc>
          <w:tcPr>
            <w:tcW w:w="6546" w:type="dxa"/>
            <w:vAlign w:val="center"/>
          </w:tcPr>
          <w:p>
            <w:pPr>
              <w:spacing w:line="480" w:lineRule="auto"/>
              <w:jc w:val="left"/>
              <w:rPr>
                <w:rFonts w:ascii="宋体" w:hAnsi="宋体"/>
                <w:color w:val="000000"/>
                <w:sz w:val="24"/>
                <w:szCs w:val="24"/>
              </w:rPr>
            </w:pPr>
            <w:r>
              <w:rPr>
                <w:rFonts w:hint="eastAsia" w:ascii="宋体" w:hAnsi="宋体"/>
                <w:color w:val="000000"/>
                <w:sz w:val="24"/>
                <w:szCs w:val="24"/>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Merge w:val="continue"/>
            <w:vAlign w:val="center"/>
          </w:tcPr>
          <w:p>
            <w:pPr>
              <w:spacing w:line="480" w:lineRule="auto"/>
              <w:jc w:val="center"/>
              <w:rPr>
                <w:rFonts w:ascii="宋体" w:hAnsi="宋体"/>
                <w:color w:val="000000"/>
                <w:sz w:val="24"/>
                <w:szCs w:val="24"/>
              </w:rPr>
            </w:pPr>
          </w:p>
        </w:tc>
        <w:tc>
          <w:tcPr>
            <w:tcW w:w="6546" w:type="dxa"/>
            <w:vAlign w:val="center"/>
          </w:tcPr>
          <w:p>
            <w:pPr>
              <w:spacing w:line="480" w:lineRule="auto"/>
              <w:rPr>
                <w:rFonts w:ascii="宋体" w:hAnsi="宋体"/>
                <w:color w:val="000000"/>
                <w:sz w:val="24"/>
                <w:szCs w:val="24"/>
              </w:rPr>
            </w:pPr>
            <w:r>
              <w:rPr>
                <w:rFonts w:hint="eastAsia" w:ascii="宋体" w:hAnsi="宋体"/>
                <w:color w:val="000000"/>
                <w:sz w:val="24"/>
                <w:szCs w:val="24"/>
              </w:rPr>
              <w:t>备注：</w:t>
            </w:r>
          </w:p>
        </w:tc>
      </w:tr>
    </w:tbl>
    <w:p>
      <w:pPr>
        <w:widowControl/>
        <w:topLinePunct/>
        <w:spacing w:line="540" w:lineRule="exact"/>
        <w:ind w:firstLine="420"/>
        <w:rPr>
          <w:rFonts w:ascii="宋体" w:hAnsi="宋体"/>
          <w:kern w:val="0"/>
          <w:sz w:val="24"/>
          <w:szCs w:val="24"/>
        </w:rPr>
      </w:pPr>
    </w:p>
    <w:p>
      <w:pPr>
        <w:widowControl/>
        <w:topLinePunct/>
        <w:spacing w:line="500" w:lineRule="exact"/>
        <w:rPr>
          <w:rFonts w:ascii="宋体" w:hAnsi="宋体"/>
          <w:kern w:val="0"/>
          <w:sz w:val="24"/>
          <w:szCs w:val="24"/>
        </w:rPr>
      </w:pPr>
      <w:r>
        <w:rPr>
          <w:rFonts w:hint="eastAsia" w:ascii="宋体" w:hAnsi="宋体"/>
          <w:kern w:val="0"/>
          <w:sz w:val="24"/>
          <w:szCs w:val="24"/>
        </w:rPr>
        <w:t xml:space="preserve">响应供应商：            </w:t>
      </w:r>
    </w:p>
    <w:p>
      <w:pPr>
        <w:widowControl/>
        <w:topLinePunct/>
        <w:spacing w:line="500" w:lineRule="exact"/>
        <w:rPr>
          <w:rFonts w:ascii="宋体" w:hAnsi="宋体"/>
          <w:color w:val="000000"/>
          <w:kern w:val="0"/>
          <w:sz w:val="24"/>
          <w:szCs w:val="24"/>
        </w:rPr>
      </w:pPr>
      <w:r>
        <w:rPr>
          <w:rFonts w:hint="eastAsia" w:ascii="宋体" w:hAnsi="宋体"/>
          <w:kern w:val="0"/>
          <w:sz w:val="24"/>
          <w:szCs w:val="24"/>
        </w:rPr>
        <w:t>响应单位法人授权代表</w:t>
      </w:r>
      <w:r>
        <w:rPr>
          <w:rFonts w:hint="eastAsia" w:ascii="宋体" w:hAnsi="宋体"/>
          <w:color w:val="000000"/>
          <w:kern w:val="0"/>
          <w:sz w:val="24"/>
          <w:szCs w:val="24"/>
        </w:rPr>
        <w:t>（签字或盖章）：</w:t>
      </w:r>
    </w:p>
    <w:p>
      <w:pPr>
        <w:spacing w:line="500" w:lineRule="exact"/>
        <w:jc w:val="left"/>
        <w:rPr>
          <w:rFonts w:ascii="宋体" w:hAnsi="宋体"/>
          <w:kern w:val="0"/>
          <w:sz w:val="24"/>
          <w:szCs w:val="24"/>
        </w:rPr>
      </w:pPr>
      <w:r>
        <w:rPr>
          <w:rFonts w:hint="eastAsia" w:ascii="宋体" w:hAnsi="宋体"/>
          <w:kern w:val="0"/>
          <w:sz w:val="24"/>
          <w:szCs w:val="24"/>
        </w:rPr>
        <w:t>日期：</w:t>
      </w:r>
    </w:p>
    <w:p>
      <w:pPr>
        <w:spacing w:line="500" w:lineRule="exact"/>
        <w:jc w:val="left"/>
        <w:rPr>
          <w:rFonts w:ascii="宋体" w:hAnsi="宋体"/>
          <w:kern w:val="0"/>
          <w:sz w:val="24"/>
          <w:szCs w:val="24"/>
        </w:rPr>
      </w:pPr>
    </w:p>
    <w:p>
      <w:pPr>
        <w:spacing w:line="500" w:lineRule="exact"/>
        <w:jc w:val="left"/>
        <w:rPr>
          <w:rFonts w:ascii="宋体" w:hAnsi="宋体"/>
          <w:kern w:val="0"/>
          <w:sz w:val="24"/>
          <w:szCs w:val="24"/>
        </w:rPr>
      </w:pPr>
    </w:p>
    <w:p>
      <w:pPr>
        <w:spacing w:line="500" w:lineRule="exact"/>
        <w:ind w:firstLine="422" w:firstLineChars="200"/>
        <w:jc w:val="left"/>
        <w:rPr>
          <w:rFonts w:ascii="宋体" w:hAnsi="宋体"/>
          <w:b/>
          <w:kern w:val="0"/>
          <w:szCs w:val="21"/>
        </w:rPr>
      </w:pPr>
      <w:r>
        <w:rPr>
          <w:rFonts w:hint="eastAsia" w:ascii="宋体" w:hAnsi="宋体"/>
          <w:b/>
          <w:kern w:val="0"/>
          <w:szCs w:val="21"/>
        </w:rPr>
        <w:t>注：1、磋商响应最终报价不得超出首次报价，否则作无效报价处理。</w:t>
      </w:r>
    </w:p>
    <w:p>
      <w:pPr>
        <w:ind w:firstLine="210"/>
        <w:jc w:val="center"/>
        <w:rPr>
          <w:rFonts w:ascii="宋体" w:hAnsi="宋体"/>
        </w:rPr>
      </w:pPr>
    </w:p>
    <w:p>
      <w:pPr>
        <w:spacing w:line="360" w:lineRule="auto"/>
        <w:ind w:firstLine="720"/>
        <w:jc w:val="center"/>
        <w:rPr>
          <w:rFonts w:ascii="宋体" w:hAnsi="宋体"/>
          <w:b/>
          <w:kern w:val="0"/>
          <w:sz w:val="28"/>
          <w:szCs w:val="28"/>
        </w:rPr>
      </w:pPr>
    </w:p>
    <w:sectPr>
      <w:headerReference r:id="rId4" w:type="first"/>
      <w:footerReference r:id="rId6" w:type="first"/>
      <w:headerReference r:id="rId3" w:type="default"/>
      <w:footerReference r:id="rId5" w:type="default"/>
      <w:pgSz w:w="11906" w:h="16838"/>
      <w:pgMar w:top="1440" w:right="1191" w:bottom="1440" w:left="1417" w:header="851" w:footer="992" w:gutter="0"/>
      <w:cols w:space="720" w:num="1"/>
      <w:titlePg/>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D8F28"/>
    <w:multiLevelType w:val="singleLevel"/>
    <w:tmpl w:val="E4DD8F28"/>
    <w:lvl w:ilvl="0" w:tentative="0">
      <w:start w:val="3"/>
      <w:numFmt w:val="chineseCounting"/>
      <w:suff w:val="space"/>
      <w:lvlText w:val="第%1章"/>
      <w:lvlJc w:val="left"/>
      <w:rPr>
        <w:rFonts w:hint="eastAsia"/>
      </w:rPr>
    </w:lvl>
  </w:abstractNum>
  <w:abstractNum w:abstractNumId="1">
    <w:nsid w:val="13084DBA"/>
    <w:multiLevelType w:val="multilevel"/>
    <w:tmpl w:val="13084DBA"/>
    <w:lvl w:ilvl="0" w:tentative="0">
      <w:start w:val="1"/>
      <w:numFmt w:val="bullet"/>
      <w:lvlText w:val=""/>
      <w:lvlJc w:val="left"/>
      <w:pPr>
        <w:ind w:left="1197" w:hanging="420"/>
      </w:pPr>
      <w:rPr>
        <w:rFonts w:hint="default" w:ascii="Wingdings" w:hAnsi="Wingdings"/>
      </w:rPr>
    </w:lvl>
    <w:lvl w:ilvl="1" w:tentative="0">
      <w:start w:val="1"/>
      <w:numFmt w:val="bullet"/>
      <w:lvlText w:val=""/>
      <w:lvlJc w:val="left"/>
      <w:pPr>
        <w:ind w:left="1617" w:hanging="420"/>
      </w:pPr>
      <w:rPr>
        <w:rFonts w:hint="default" w:ascii="Wingdings" w:hAnsi="Wingdings"/>
      </w:rPr>
    </w:lvl>
    <w:lvl w:ilvl="2" w:tentative="0">
      <w:start w:val="1"/>
      <w:numFmt w:val="bullet"/>
      <w:lvlText w:val=""/>
      <w:lvlJc w:val="left"/>
      <w:pPr>
        <w:ind w:left="2037" w:hanging="420"/>
      </w:pPr>
      <w:rPr>
        <w:rFonts w:hint="default" w:ascii="Wingdings" w:hAnsi="Wingdings"/>
      </w:rPr>
    </w:lvl>
    <w:lvl w:ilvl="3" w:tentative="0">
      <w:start w:val="1"/>
      <w:numFmt w:val="bullet"/>
      <w:lvlText w:val=""/>
      <w:lvlJc w:val="left"/>
      <w:pPr>
        <w:ind w:left="2457" w:hanging="420"/>
      </w:pPr>
      <w:rPr>
        <w:rFonts w:hint="default" w:ascii="Wingdings" w:hAnsi="Wingdings"/>
      </w:rPr>
    </w:lvl>
    <w:lvl w:ilvl="4" w:tentative="0">
      <w:start w:val="1"/>
      <w:numFmt w:val="bullet"/>
      <w:lvlText w:val=""/>
      <w:lvlJc w:val="left"/>
      <w:pPr>
        <w:ind w:left="2877" w:hanging="420"/>
      </w:pPr>
      <w:rPr>
        <w:rFonts w:hint="default" w:ascii="Wingdings" w:hAnsi="Wingdings"/>
      </w:rPr>
    </w:lvl>
    <w:lvl w:ilvl="5" w:tentative="0">
      <w:start w:val="1"/>
      <w:numFmt w:val="bullet"/>
      <w:lvlText w:val=""/>
      <w:lvlJc w:val="left"/>
      <w:pPr>
        <w:ind w:left="3297" w:hanging="420"/>
      </w:pPr>
      <w:rPr>
        <w:rFonts w:hint="default" w:ascii="Wingdings" w:hAnsi="Wingdings"/>
      </w:rPr>
    </w:lvl>
    <w:lvl w:ilvl="6" w:tentative="0">
      <w:start w:val="1"/>
      <w:numFmt w:val="bullet"/>
      <w:lvlText w:val=""/>
      <w:lvlJc w:val="left"/>
      <w:pPr>
        <w:ind w:left="3717" w:hanging="420"/>
      </w:pPr>
      <w:rPr>
        <w:rFonts w:hint="default" w:ascii="Wingdings" w:hAnsi="Wingdings"/>
      </w:rPr>
    </w:lvl>
    <w:lvl w:ilvl="7" w:tentative="0">
      <w:start w:val="1"/>
      <w:numFmt w:val="bullet"/>
      <w:lvlText w:val=""/>
      <w:lvlJc w:val="left"/>
      <w:pPr>
        <w:ind w:left="4137" w:hanging="420"/>
      </w:pPr>
      <w:rPr>
        <w:rFonts w:hint="default" w:ascii="Wingdings" w:hAnsi="Wingdings"/>
      </w:rPr>
    </w:lvl>
    <w:lvl w:ilvl="8" w:tentative="0">
      <w:start w:val="1"/>
      <w:numFmt w:val="bullet"/>
      <w:lvlText w:val=""/>
      <w:lvlJc w:val="left"/>
      <w:pPr>
        <w:ind w:left="4557"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hNGNiZTY2MTk5ZGRiNzEyYjdiYzc0YzUzYmJmN2UifQ=="/>
  </w:docVars>
  <w:rsids>
    <w:rsidRoot w:val="00040C5D"/>
    <w:rsid w:val="00000FFC"/>
    <w:rsid w:val="000019F1"/>
    <w:rsid w:val="00001DDB"/>
    <w:rsid w:val="00001FCB"/>
    <w:rsid w:val="00004EEE"/>
    <w:rsid w:val="00013071"/>
    <w:rsid w:val="000135A3"/>
    <w:rsid w:val="0001461E"/>
    <w:rsid w:val="00014B14"/>
    <w:rsid w:val="00014C29"/>
    <w:rsid w:val="0001666E"/>
    <w:rsid w:val="00017E82"/>
    <w:rsid w:val="00020285"/>
    <w:rsid w:val="0002387A"/>
    <w:rsid w:val="0002424C"/>
    <w:rsid w:val="00024A77"/>
    <w:rsid w:val="00030AF2"/>
    <w:rsid w:val="00031186"/>
    <w:rsid w:val="00032ED7"/>
    <w:rsid w:val="00034138"/>
    <w:rsid w:val="00034CDB"/>
    <w:rsid w:val="00035F35"/>
    <w:rsid w:val="00036718"/>
    <w:rsid w:val="00040C5D"/>
    <w:rsid w:val="00041AD0"/>
    <w:rsid w:val="00041D05"/>
    <w:rsid w:val="00041DC6"/>
    <w:rsid w:val="00044B67"/>
    <w:rsid w:val="00050E60"/>
    <w:rsid w:val="00053DD0"/>
    <w:rsid w:val="00055229"/>
    <w:rsid w:val="0006169A"/>
    <w:rsid w:val="000629C7"/>
    <w:rsid w:val="00064096"/>
    <w:rsid w:val="000650C2"/>
    <w:rsid w:val="0006732D"/>
    <w:rsid w:val="00070A2D"/>
    <w:rsid w:val="0007173F"/>
    <w:rsid w:val="000729DC"/>
    <w:rsid w:val="00073E50"/>
    <w:rsid w:val="000754A4"/>
    <w:rsid w:val="0007583F"/>
    <w:rsid w:val="00076AC4"/>
    <w:rsid w:val="0008154C"/>
    <w:rsid w:val="00081C49"/>
    <w:rsid w:val="00093191"/>
    <w:rsid w:val="0009454F"/>
    <w:rsid w:val="000947D3"/>
    <w:rsid w:val="000A356F"/>
    <w:rsid w:val="000A5761"/>
    <w:rsid w:val="000A57E5"/>
    <w:rsid w:val="000A7001"/>
    <w:rsid w:val="000B0E0D"/>
    <w:rsid w:val="000B1447"/>
    <w:rsid w:val="000B2803"/>
    <w:rsid w:val="000B340F"/>
    <w:rsid w:val="000B6378"/>
    <w:rsid w:val="000B7D0E"/>
    <w:rsid w:val="000C05E2"/>
    <w:rsid w:val="000C1E9C"/>
    <w:rsid w:val="000C3DF2"/>
    <w:rsid w:val="000C3E68"/>
    <w:rsid w:val="000C5A37"/>
    <w:rsid w:val="000D1415"/>
    <w:rsid w:val="000D24E5"/>
    <w:rsid w:val="000D2ABF"/>
    <w:rsid w:val="000D2C55"/>
    <w:rsid w:val="000D3BEA"/>
    <w:rsid w:val="000D4488"/>
    <w:rsid w:val="000D4C87"/>
    <w:rsid w:val="000D5157"/>
    <w:rsid w:val="000D5F8F"/>
    <w:rsid w:val="000D6681"/>
    <w:rsid w:val="000E0A0D"/>
    <w:rsid w:val="000E1CF7"/>
    <w:rsid w:val="000E429F"/>
    <w:rsid w:val="000E55F9"/>
    <w:rsid w:val="000F0AF4"/>
    <w:rsid w:val="000F6E2E"/>
    <w:rsid w:val="001023D7"/>
    <w:rsid w:val="00103176"/>
    <w:rsid w:val="00104BBB"/>
    <w:rsid w:val="00106431"/>
    <w:rsid w:val="001070FF"/>
    <w:rsid w:val="001107BB"/>
    <w:rsid w:val="00112AF0"/>
    <w:rsid w:val="001132ED"/>
    <w:rsid w:val="0011658A"/>
    <w:rsid w:val="001258F1"/>
    <w:rsid w:val="00125A17"/>
    <w:rsid w:val="0013381B"/>
    <w:rsid w:val="00135294"/>
    <w:rsid w:val="00136696"/>
    <w:rsid w:val="00136853"/>
    <w:rsid w:val="00137D93"/>
    <w:rsid w:val="001464C1"/>
    <w:rsid w:val="00147767"/>
    <w:rsid w:val="00150685"/>
    <w:rsid w:val="00151D94"/>
    <w:rsid w:val="00152C2D"/>
    <w:rsid w:val="00153B87"/>
    <w:rsid w:val="00156FA4"/>
    <w:rsid w:val="00157B6D"/>
    <w:rsid w:val="001628A8"/>
    <w:rsid w:val="00164CBB"/>
    <w:rsid w:val="0016662D"/>
    <w:rsid w:val="001667A9"/>
    <w:rsid w:val="0017399F"/>
    <w:rsid w:val="00173ECC"/>
    <w:rsid w:val="001748C2"/>
    <w:rsid w:val="0018199D"/>
    <w:rsid w:val="00181E62"/>
    <w:rsid w:val="00182CF1"/>
    <w:rsid w:val="00182E3E"/>
    <w:rsid w:val="00183B49"/>
    <w:rsid w:val="00187747"/>
    <w:rsid w:val="00190750"/>
    <w:rsid w:val="00194C23"/>
    <w:rsid w:val="00196DE7"/>
    <w:rsid w:val="001A0DB6"/>
    <w:rsid w:val="001A58A5"/>
    <w:rsid w:val="001A6866"/>
    <w:rsid w:val="001A751D"/>
    <w:rsid w:val="001B147F"/>
    <w:rsid w:val="001B18C3"/>
    <w:rsid w:val="001B3A22"/>
    <w:rsid w:val="001B4E9C"/>
    <w:rsid w:val="001C1E9F"/>
    <w:rsid w:val="001C383A"/>
    <w:rsid w:val="001C69C3"/>
    <w:rsid w:val="001D079F"/>
    <w:rsid w:val="001D3661"/>
    <w:rsid w:val="001D4F6A"/>
    <w:rsid w:val="001D55CB"/>
    <w:rsid w:val="001D5E24"/>
    <w:rsid w:val="001E13B7"/>
    <w:rsid w:val="001E271F"/>
    <w:rsid w:val="001E44B2"/>
    <w:rsid w:val="001E661D"/>
    <w:rsid w:val="001E7B2D"/>
    <w:rsid w:val="001F3AA6"/>
    <w:rsid w:val="001F5172"/>
    <w:rsid w:val="001F68F6"/>
    <w:rsid w:val="001F6B21"/>
    <w:rsid w:val="00202BEE"/>
    <w:rsid w:val="00205E4A"/>
    <w:rsid w:val="00206827"/>
    <w:rsid w:val="00207C16"/>
    <w:rsid w:val="00207C56"/>
    <w:rsid w:val="00212741"/>
    <w:rsid w:val="00212EF2"/>
    <w:rsid w:val="002166D6"/>
    <w:rsid w:val="0021682A"/>
    <w:rsid w:val="00217F7D"/>
    <w:rsid w:val="00221480"/>
    <w:rsid w:val="00222045"/>
    <w:rsid w:val="00224E37"/>
    <w:rsid w:val="002267E6"/>
    <w:rsid w:val="002270A3"/>
    <w:rsid w:val="00227732"/>
    <w:rsid w:val="00231288"/>
    <w:rsid w:val="002315B1"/>
    <w:rsid w:val="0023307F"/>
    <w:rsid w:val="0023338E"/>
    <w:rsid w:val="002341E0"/>
    <w:rsid w:val="00234F88"/>
    <w:rsid w:val="002378DA"/>
    <w:rsid w:val="00244A83"/>
    <w:rsid w:val="00246971"/>
    <w:rsid w:val="00250152"/>
    <w:rsid w:val="00250BAE"/>
    <w:rsid w:val="00250CF9"/>
    <w:rsid w:val="00251C49"/>
    <w:rsid w:val="00252214"/>
    <w:rsid w:val="00252388"/>
    <w:rsid w:val="002569B2"/>
    <w:rsid w:val="00256A21"/>
    <w:rsid w:val="0025750D"/>
    <w:rsid w:val="00257D94"/>
    <w:rsid w:val="00264B78"/>
    <w:rsid w:val="00270154"/>
    <w:rsid w:val="00273F33"/>
    <w:rsid w:val="0027445E"/>
    <w:rsid w:val="002826C9"/>
    <w:rsid w:val="002832E7"/>
    <w:rsid w:val="00285AB5"/>
    <w:rsid w:val="00287331"/>
    <w:rsid w:val="00290803"/>
    <w:rsid w:val="00295026"/>
    <w:rsid w:val="002974B2"/>
    <w:rsid w:val="002A0EA8"/>
    <w:rsid w:val="002A1969"/>
    <w:rsid w:val="002A3D7E"/>
    <w:rsid w:val="002A44B2"/>
    <w:rsid w:val="002A59AE"/>
    <w:rsid w:val="002B067E"/>
    <w:rsid w:val="002B1913"/>
    <w:rsid w:val="002B4A8B"/>
    <w:rsid w:val="002B4B1A"/>
    <w:rsid w:val="002B5B35"/>
    <w:rsid w:val="002B62AE"/>
    <w:rsid w:val="002B6590"/>
    <w:rsid w:val="002B6AA5"/>
    <w:rsid w:val="002B728D"/>
    <w:rsid w:val="002C4CBB"/>
    <w:rsid w:val="002C6AF2"/>
    <w:rsid w:val="002D383E"/>
    <w:rsid w:val="002D4AC8"/>
    <w:rsid w:val="002D4D39"/>
    <w:rsid w:val="002D6879"/>
    <w:rsid w:val="002E0404"/>
    <w:rsid w:val="002E3AB5"/>
    <w:rsid w:val="002E3D57"/>
    <w:rsid w:val="002E65BC"/>
    <w:rsid w:val="002E6B7C"/>
    <w:rsid w:val="002F0495"/>
    <w:rsid w:val="002F5497"/>
    <w:rsid w:val="0030067F"/>
    <w:rsid w:val="00300747"/>
    <w:rsid w:val="0030076D"/>
    <w:rsid w:val="00305022"/>
    <w:rsid w:val="0030749D"/>
    <w:rsid w:val="003125D9"/>
    <w:rsid w:val="0031484C"/>
    <w:rsid w:val="0031564C"/>
    <w:rsid w:val="00316980"/>
    <w:rsid w:val="00321246"/>
    <w:rsid w:val="00321D1F"/>
    <w:rsid w:val="00322ED9"/>
    <w:rsid w:val="00323290"/>
    <w:rsid w:val="0032468A"/>
    <w:rsid w:val="00324BA8"/>
    <w:rsid w:val="003259FA"/>
    <w:rsid w:val="0032623E"/>
    <w:rsid w:val="00327CED"/>
    <w:rsid w:val="00330471"/>
    <w:rsid w:val="00330618"/>
    <w:rsid w:val="003319CD"/>
    <w:rsid w:val="00332B71"/>
    <w:rsid w:val="00335FED"/>
    <w:rsid w:val="00336D8D"/>
    <w:rsid w:val="00337E6A"/>
    <w:rsid w:val="00345028"/>
    <w:rsid w:val="00346295"/>
    <w:rsid w:val="0035045B"/>
    <w:rsid w:val="00353EF8"/>
    <w:rsid w:val="0035419B"/>
    <w:rsid w:val="003544B5"/>
    <w:rsid w:val="00356C2C"/>
    <w:rsid w:val="00360C79"/>
    <w:rsid w:val="00361CA0"/>
    <w:rsid w:val="0036362A"/>
    <w:rsid w:val="00364C01"/>
    <w:rsid w:val="00366E9E"/>
    <w:rsid w:val="003718C6"/>
    <w:rsid w:val="00372C87"/>
    <w:rsid w:val="00373FFF"/>
    <w:rsid w:val="003745ED"/>
    <w:rsid w:val="00377228"/>
    <w:rsid w:val="003803F9"/>
    <w:rsid w:val="003816D5"/>
    <w:rsid w:val="00382959"/>
    <w:rsid w:val="00382B9E"/>
    <w:rsid w:val="00382EDE"/>
    <w:rsid w:val="0038375F"/>
    <w:rsid w:val="0038401F"/>
    <w:rsid w:val="003841F8"/>
    <w:rsid w:val="0038458E"/>
    <w:rsid w:val="00384E00"/>
    <w:rsid w:val="0038523B"/>
    <w:rsid w:val="00391D58"/>
    <w:rsid w:val="0039619C"/>
    <w:rsid w:val="0039727E"/>
    <w:rsid w:val="003A1445"/>
    <w:rsid w:val="003A2171"/>
    <w:rsid w:val="003A24A1"/>
    <w:rsid w:val="003A2D31"/>
    <w:rsid w:val="003A36A3"/>
    <w:rsid w:val="003A4F02"/>
    <w:rsid w:val="003A53D3"/>
    <w:rsid w:val="003A66F9"/>
    <w:rsid w:val="003B0873"/>
    <w:rsid w:val="003B1DD7"/>
    <w:rsid w:val="003B5555"/>
    <w:rsid w:val="003B7115"/>
    <w:rsid w:val="003C070E"/>
    <w:rsid w:val="003C099B"/>
    <w:rsid w:val="003C176E"/>
    <w:rsid w:val="003C219D"/>
    <w:rsid w:val="003C2764"/>
    <w:rsid w:val="003C52AC"/>
    <w:rsid w:val="003D16FB"/>
    <w:rsid w:val="003D1B66"/>
    <w:rsid w:val="003D4954"/>
    <w:rsid w:val="003D4AD7"/>
    <w:rsid w:val="003D5B44"/>
    <w:rsid w:val="003E0272"/>
    <w:rsid w:val="003E0879"/>
    <w:rsid w:val="003E18C2"/>
    <w:rsid w:val="003E1B49"/>
    <w:rsid w:val="003E3AFF"/>
    <w:rsid w:val="003E6EBB"/>
    <w:rsid w:val="003E706C"/>
    <w:rsid w:val="003E7248"/>
    <w:rsid w:val="003E783C"/>
    <w:rsid w:val="003F028A"/>
    <w:rsid w:val="003F07C4"/>
    <w:rsid w:val="003F10BB"/>
    <w:rsid w:val="003F4FBE"/>
    <w:rsid w:val="003F620A"/>
    <w:rsid w:val="00400D01"/>
    <w:rsid w:val="00404E2C"/>
    <w:rsid w:val="00407245"/>
    <w:rsid w:val="00412D53"/>
    <w:rsid w:val="00413993"/>
    <w:rsid w:val="004144BB"/>
    <w:rsid w:val="0041504A"/>
    <w:rsid w:val="004150DD"/>
    <w:rsid w:val="00415291"/>
    <w:rsid w:val="004153BD"/>
    <w:rsid w:val="00415721"/>
    <w:rsid w:val="004178FB"/>
    <w:rsid w:val="00420786"/>
    <w:rsid w:val="00421508"/>
    <w:rsid w:val="00421C6A"/>
    <w:rsid w:val="00424110"/>
    <w:rsid w:val="004317D8"/>
    <w:rsid w:val="00431870"/>
    <w:rsid w:val="004428DF"/>
    <w:rsid w:val="004440BC"/>
    <w:rsid w:val="004460A7"/>
    <w:rsid w:val="00447C0A"/>
    <w:rsid w:val="00450760"/>
    <w:rsid w:val="0045125C"/>
    <w:rsid w:val="00457A48"/>
    <w:rsid w:val="00461B76"/>
    <w:rsid w:val="00462F42"/>
    <w:rsid w:val="00463055"/>
    <w:rsid w:val="004653CE"/>
    <w:rsid w:val="00465798"/>
    <w:rsid w:val="004714F2"/>
    <w:rsid w:val="004726B5"/>
    <w:rsid w:val="00473B03"/>
    <w:rsid w:val="00476F3B"/>
    <w:rsid w:val="00482CDD"/>
    <w:rsid w:val="00484EF2"/>
    <w:rsid w:val="004864EC"/>
    <w:rsid w:val="00486F00"/>
    <w:rsid w:val="00490285"/>
    <w:rsid w:val="00490FC8"/>
    <w:rsid w:val="00491008"/>
    <w:rsid w:val="00491778"/>
    <w:rsid w:val="00491884"/>
    <w:rsid w:val="00492DA5"/>
    <w:rsid w:val="00497D4A"/>
    <w:rsid w:val="004A0231"/>
    <w:rsid w:val="004A0457"/>
    <w:rsid w:val="004A468D"/>
    <w:rsid w:val="004A74D7"/>
    <w:rsid w:val="004A7FAF"/>
    <w:rsid w:val="004B0244"/>
    <w:rsid w:val="004B0E38"/>
    <w:rsid w:val="004B2610"/>
    <w:rsid w:val="004B2E7F"/>
    <w:rsid w:val="004B6025"/>
    <w:rsid w:val="004B660F"/>
    <w:rsid w:val="004B7805"/>
    <w:rsid w:val="004C7B4D"/>
    <w:rsid w:val="004D069A"/>
    <w:rsid w:val="004D416B"/>
    <w:rsid w:val="004D4BFD"/>
    <w:rsid w:val="004D5AF7"/>
    <w:rsid w:val="004E2649"/>
    <w:rsid w:val="004E5775"/>
    <w:rsid w:val="004E621E"/>
    <w:rsid w:val="004F0CA5"/>
    <w:rsid w:val="004F130D"/>
    <w:rsid w:val="004F1839"/>
    <w:rsid w:val="004F314E"/>
    <w:rsid w:val="004F3ED7"/>
    <w:rsid w:val="004F6DC6"/>
    <w:rsid w:val="004F7F9C"/>
    <w:rsid w:val="005007B2"/>
    <w:rsid w:val="005016F6"/>
    <w:rsid w:val="00503552"/>
    <w:rsid w:val="005064D6"/>
    <w:rsid w:val="00515416"/>
    <w:rsid w:val="0052048C"/>
    <w:rsid w:val="00520B98"/>
    <w:rsid w:val="00522C3A"/>
    <w:rsid w:val="00530602"/>
    <w:rsid w:val="005348F7"/>
    <w:rsid w:val="00534ED6"/>
    <w:rsid w:val="00534FDF"/>
    <w:rsid w:val="0053695E"/>
    <w:rsid w:val="00540B49"/>
    <w:rsid w:val="00544A98"/>
    <w:rsid w:val="00546202"/>
    <w:rsid w:val="00547407"/>
    <w:rsid w:val="00547898"/>
    <w:rsid w:val="0055034A"/>
    <w:rsid w:val="005546C1"/>
    <w:rsid w:val="00556F28"/>
    <w:rsid w:val="005572B1"/>
    <w:rsid w:val="00560768"/>
    <w:rsid w:val="005633F6"/>
    <w:rsid w:val="00563BE5"/>
    <w:rsid w:val="005705E7"/>
    <w:rsid w:val="00570674"/>
    <w:rsid w:val="00571ADF"/>
    <w:rsid w:val="00574669"/>
    <w:rsid w:val="00574AF7"/>
    <w:rsid w:val="00575019"/>
    <w:rsid w:val="00575F72"/>
    <w:rsid w:val="00576965"/>
    <w:rsid w:val="00576CD5"/>
    <w:rsid w:val="00580257"/>
    <w:rsid w:val="0058380C"/>
    <w:rsid w:val="00584347"/>
    <w:rsid w:val="0058442B"/>
    <w:rsid w:val="00584559"/>
    <w:rsid w:val="00585C49"/>
    <w:rsid w:val="00587D95"/>
    <w:rsid w:val="00591BE7"/>
    <w:rsid w:val="005951FB"/>
    <w:rsid w:val="005A18C9"/>
    <w:rsid w:val="005A33BC"/>
    <w:rsid w:val="005A4452"/>
    <w:rsid w:val="005A5A76"/>
    <w:rsid w:val="005A66FC"/>
    <w:rsid w:val="005A75CB"/>
    <w:rsid w:val="005B08B7"/>
    <w:rsid w:val="005B618D"/>
    <w:rsid w:val="005B7A42"/>
    <w:rsid w:val="005C4C7D"/>
    <w:rsid w:val="005C5B39"/>
    <w:rsid w:val="005C6C5C"/>
    <w:rsid w:val="005D187C"/>
    <w:rsid w:val="005D25BA"/>
    <w:rsid w:val="005D381D"/>
    <w:rsid w:val="005D4AD4"/>
    <w:rsid w:val="005D5B3F"/>
    <w:rsid w:val="005D60BA"/>
    <w:rsid w:val="005E0B24"/>
    <w:rsid w:val="005E1689"/>
    <w:rsid w:val="005E3B44"/>
    <w:rsid w:val="005E494C"/>
    <w:rsid w:val="005E49F1"/>
    <w:rsid w:val="005E6702"/>
    <w:rsid w:val="005F2874"/>
    <w:rsid w:val="00600955"/>
    <w:rsid w:val="00601EA0"/>
    <w:rsid w:val="0060218A"/>
    <w:rsid w:val="00603782"/>
    <w:rsid w:val="00605AA0"/>
    <w:rsid w:val="006070C5"/>
    <w:rsid w:val="006118EF"/>
    <w:rsid w:val="00613244"/>
    <w:rsid w:val="006176A9"/>
    <w:rsid w:val="00617736"/>
    <w:rsid w:val="00620603"/>
    <w:rsid w:val="006212C7"/>
    <w:rsid w:val="006227AB"/>
    <w:rsid w:val="00623C1A"/>
    <w:rsid w:val="00626D2C"/>
    <w:rsid w:val="00627080"/>
    <w:rsid w:val="0062763A"/>
    <w:rsid w:val="00630CCE"/>
    <w:rsid w:val="00633984"/>
    <w:rsid w:val="00637C07"/>
    <w:rsid w:val="0064515E"/>
    <w:rsid w:val="00646D8B"/>
    <w:rsid w:val="006475A1"/>
    <w:rsid w:val="0065297D"/>
    <w:rsid w:val="0065487C"/>
    <w:rsid w:val="00655CE0"/>
    <w:rsid w:val="0066162A"/>
    <w:rsid w:val="0066200A"/>
    <w:rsid w:val="0066335D"/>
    <w:rsid w:val="0066414C"/>
    <w:rsid w:val="00664C12"/>
    <w:rsid w:val="00666417"/>
    <w:rsid w:val="0066708A"/>
    <w:rsid w:val="00667A8D"/>
    <w:rsid w:val="00671A6D"/>
    <w:rsid w:val="00673F5F"/>
    <w:rsid w:val="00675ED3"/>
    <w:rsid w:val="00676484"/>
    <w:rsid w:val="00676E70"/>
    <w:rsid w:val="0067732D"/>
    <w:rsid w:val="00682B31"/>
    <w:rsid w:val="006834E0"/>
    <w:rsid w:val="00684835"/>
    <w:rsid w:val="0068496D"/>
    <w:rsid w:val="00684A7B"/>
    <w:rsid w:val="00686266"/>
    <w:rsid w:val="00687F59"/>
    <w:rsid w:val="00690484"/>
    <w:rsid w:val="006930A6"/>
    <w:rsid w:val="00695B34"/>
    <w:rsid w:val="006961DB"/>
    <w:rsid w:val="006966ED"/>
    <w:rsid w:val="00697BFC"/>
    <w:rsid w:val="006A05CD"/>
    <w:rsid w:val="006A05FB"/>
    <w:rsid w:val="006A1F1E"/>
    <w:rsid w:val="006A4790"/>
    <w:rsid w:val="006A51AC"/>
    <w:rsid w:val="006A542C"/>
    <w:rsid w:val="006A5A64"/>
    <w:rsid w:val="006A6166"/>
    <w:rsid w:val="006A6F02"/>
    <w:rsid w:val="006B1183"/>
    <w:rsid w:val="006B19DD"/>
    <w:rsid w:val="006B2F35"/>
    <w:rsid w:val="006B48A1"/>
    <w:rsid w:val="006C151E"/>
    <w:rsid w:val="006C403B"/>
    <w:rsid w:val="006C4178"/>
    <w:rsid w:val="006C5DC6"/>
    <w:rsid w:val="006C6CD2"/>
    <w:rsid w:val="006C7937"/>
    <w:rsid w:val="006C7B29"/>
    <w:rsid w:val="006D1016"/>
    <w:rsid w:val="006D105D"/>
    <w:rsid w:val="006D12E0"/>
    <w:rsid w:val="006D148C"/>
    <w:rsid w:val="006D5368"/>
    <w:rsid w:val="006D6EBA"/>
    <w:rsid w:val="006E0DC5"/>
    <w:rsid w:val="006E0F11"/>
    <w:rsid w:val="006E172A"/>
    <w:rsid w:val="006E6BE3"/>
    <w:rsid w:val="006E75FF"/>
    <w:rsid w:val="006E7A57"/>
    <w:rsid w:val="006F17E3"/>
    <w:rsid w:val="006F2F3A"/>
    <w:rsid w:val="006F32EE"/>
    <w:rsid w:val="006F5E06"/>
    <w:rsid w:val="007003B2"/>
    <w:rsid w:val="007021B9"/>
    <w:rsid w:val="00703C3D"/>
    <w:rsid w:val="0070569B"/>
    <w:rsid w:val="00706C2C"/>
    <w:rsid w:val="0070740B"/>
    <w:rsid w:val="007123DB"/>
    <w:rsid w:val="00713285"/>
    <w:rsid w:val="0071485A"/>
    <w:rsid w:val="00716D41"/>
    <w:rsid w:val="007202BD"/>
    <w:rsid w:val="0072050A"/>
    <w:rsid w:val="00721E37"/>
    <w:rsid w:val="00723C22"/>
    <w:rsid w:val="007250AC"/>
    <w:rsid w:val="0072580F"/>
    <w:rsid w:val="00726365"/>
    <w:rsid w:val="00730C03"/>
    <w:rsid w:val="007315A2"/>
    <w:rsid w:val="00731B77"/>
    <w:rsid w:val="007340C2"/>
    <w:rsid w:val="0073479C"/>
    <w:rsid w:val="007348A5"/>
    <w:rsid w:val="00734BD9"/>
    <w:rsid w:val="00735455"/>
    <w:rsid w:val="007404CE"/>
    <w:rsid w:val="0074512A"/>
    <w:rsid w:val="00745178"/>
    <w:rsid w:val="0074569E"/>
    <w:rsid w:val="00746759"/>
    <w:rsid w:val="007468CD"/>
    <w:rsid w:val="00746B41"/>
    <w:rsid w:val="00747B10"/>
    <w:rsid w:val="00751000"/>
    <w:rsid w:val="00751642"/>
    <w:rsid w:val="007527D7"/>
    <w:rsid w:val="007527E8"/>
    <w:rsid w:val="00752E16"/>
    <w:rsid w:val="00753B06"/>
    <w:rsid w:val="00753E4A"/>
    <w:rsid w:val="00754E93"/>
    <w:rsid w:val="00756B1A"/>
    <w:rsid w:val="00760738"/>
    <w:rsid w:val="007620C2"/>
    <w:rsid w:val="00763BDE"/>
    <w:rsid w:val="00767746"/>
    <w:rsid w:val="00772BE4"/>
    <w:rsid w:val="007739DB"/>
    <w:rsid w:val="00775095"/>
    <w:rsid w:val="00775918"/>
    <w:rsid w:val="00775981"/>
    <w:rsid w:val="00775B69"/>
    <w:rsid w:val="00780BF8"/>
    <w:rsid w:val="00782537"/>
    <w:rsid w:val="00782733"/>
    <w:rsid w:val="007841CE"/>
    <w:rsid w:val="00787032"/>
    <w:rsid w:val="00787FEF"/>
    <w:rsid w:val="00791524"/>
    <w:rsid w:val="00794CF3"/>
    <w:rsid w:val="00796B63"/>
    <w:rsid w:val="007A1385"/>
    <w:rsid w:val="007A1BC8"/>
    <w:rsid w:val="007A2065"/>
    <w:rsid w:val="007A2317"/>
    <w:rsid w:val="007A36D2"/>
    <w:rsid w:val="007A4431"/>
    <w:rsid w:val="007B331D"/>
    <w:rsid w:val="007B37B1"/>
    <w:rsid w:val="007B6A4D"/>
    <w:rsid w:val="007C00F5"/>
    <w:rsid w:val="007C3AE7"/>
    <w:rsid w:val="007C594A"/>
    <w:rsid w:val="007C6E21"/>
    <w:rsid w:val="007C7187"/>
    <w:rsid w:val="007D0810"/>
    <w:rsid w:val="007D0A04"/>
    <w:rsid w:val="007D3CEB"/>
    <w:rsid w:val="007E37C0"/>
    <w:rsid w:val="007E4F5F"/>
    <w:rsid w:val="007E6138"/>
    <w:rsid w:val="007E729A"/>
    <w:rsid w:val="007E72C4"/>
    <w:rsid w:val="007F20B6"/>
    <w:rsid w:val="007F2E6C"/>
    <w:rsid w:val="007F452B"/>
    <w:rsid w:val="007F5C92"/>
    <w:rsid w:val="007F6392"/>
    <w:rsid w:val="0080176E"/>
    <w:rsid w:val="00802C84"/>
    <w:rsid w:val="00811BB5"/>
    <w:rsid w:val="008137FF"/>
    <w:rsid w:val="008269BB"/>
    <w:rsid w:val="00826EB8"/>
    <w:rsid w:val="00827061"/>
    <w:rsid w:val="008313FE"/>
    <w:rsid w:val="00833542"/>
    <w:rsid w:val="00836AE6"/>
    <w:rsid w:val="00840521"/>
    <w:rsid w:val="00841F56"/>
    <w:rsid w:val="00842F21"/>
    <w:rsid w:val="008472C6"/>
    <w:rsid w:val="00853EB6"/>
    <w:rsid w:val="0085494C"/>
    <w:rsid w:val="00856445"/>
    <w:rsid w:val="00856992"/>
    <w:rsid w:val="00857662"/>
    <w:rsid w:val="008622D0"/>
    <w:rsid w:val="00862956"/>
    <w:rsid w:val="00863FD9"/>
    <w:rsid w:val="008657EA"/>
    <w:rsid w:val="0086582B"/>
    <w:rsid w:val="00867C9B"/>
    <w:rsid w:val="00872603"/>
    <w:rsid w:val="00872CF4"/>
    <w:rsid w:val="0088211A"/>
    <w:rsid w:val="00887175"/>
    <w:rsid w:val="00887A11"/>
    <w:rsid w:val="00890DB0"/>
    <w:rsid w:val="0089126D"/>
    <w:rsid w:val="00892234"/>
    <w:rsid w:val="0089295B"/>
    <w:rsid w:val="008931BB"/>
    <w:rsid w:val="008A0085"/>
    <w:rsid w:val="008A2A63"/>
    <w:rsid w:val="008A2C07"/>
    <w:rsid w:val="008A57A9"/>
    <w:rsid w:val="008A748A"/>
    <w:rsid w:val="008A77C8"/>
    <w:rsid w:val="008B02B1"/>
    <w:rsid w:val="008B2F0B"/>
    <w:rsid w:val="008B40B8"/>
    <w:rsid w:val="008B6C2D"/>
    <w:rsid w:val="008B7DC2"/>
    <w:rsid w:val="008C137A"/>
    <w:rsid w:val="008C1FC1"/>
    <w:rsid w:val="008C284C"/>
    <w:rsid w:val="008C31E0"/>
    <w:rsid w:val="008C41A4"/>
    <w:rsid w:val="008C5162"/>
    <w:rsid w:val="008C51A3"/>
    <w:rsid w:val="008C5AC0"/>
    <w:rsid w:val="008D1C88"/>
    <w:rsid w:val="008D5E43"/>
    <w:rsid w:val="008D644B"/>
    <w:rsid w:val="008D6C4C"/>
    <w:rsid w:val="008E075D"/>
    <w:rsid w:val="008E1B6B"/>
    <w:rsid w:val="008E7044"/>
    <w:rsid w:val="008F1127"/>
    <w:rsid w:val="008F27DE"/>
    <w:rsid w:val="008F39F0"/>
    <w:rsid w:val="008F4FDE"/>
    <w:rsid w:val="008F7419"/>
    <w:rsid w:val="008F7560"/>
    <w:rsid w:val="00902A38"/>
    <w:rsid w:val="009045A6"/>
    <w:rsid w:val="00905A6A"/>
    <w:rsid w:val="00911315"/>
    <w:rsid w:val="009164E5"/>
    <w:rsid w:val="00917CE1"/>
    <w:rsid w:val="00920CFA"/>
    <w:rsid w:val="00921E56"/>
    <w:rsid w:val="00923290"/>
    <w:rsid w:val="009269A9"/>
    <w:rsid w:val="00930552"/>
    <w:rsid w:val="0093307A"/>
    <w:rsid w:val="00934201"/>
    <w:rsid w:val="00937BB3"/>
    <w:rsid w:val="00940070"/>
    <w:rsid w:val="00943706"/>
    <w:rsid w:val="00946891"/>
    <w:rsid w:val="009501ED"/>
    <w:rsid w:val="00950DDC"/>
    <w:rsid w:val="009529C6"/>
    <w:rsid w:val="00952DCA"/>
    <w:rsid w:val="0095499C"/>
    <w:rsid w:val="00956E84"/>
    <w:rsid w:val="00961D77"/>
    <w:rsid w:val="00961FE9"/>
    <w:rsid w:val="00962065"/>
    <w:rsid w:val="00963A71"/>
    <w:rsid w:val="00963AB3"/>
    <w:rsid w:val="00964C00"/>
    <w:rsid w:val="00965A51"/>
    <w:rsid w:val="00965F8E"/>
    <w:rsid w:val="00970554"/>
    <w:rsid w:val="00972C9F"/>
    <w:rsid w:val="00972EAE"/>
    <w:rsid w:val="00973F85"/>
    <w:rsid w:val="00974EF6"/>
    <w:rsid w:val="00976B49"/>
    <w:rsid w:val="0098228C"/>
    <w:rsid w:val="009873E3"/>
    <w:rsid w:val="009931EE"/>
    <w:rsid w:val="00995F19"/>
    <w:rsid w:val="0099710C"/>
    <w:rsid w:val="00997DB9"/>
    <w:rsid w:val="009A712D"/>
    <w:rsid w:val="009A78FB"/>
    <w:rsid w:val="009C0362"/>
    <w:rsid w:val="009C2006"/>
    <w:rsid w:val="009C5507"/>
    <w:rsid w:val="009C5D6E"/>
    <w:rsid w:val="009C602B"/>
    <w:rsid w:val="009C607D"/>
    <w:rsid w:val="009C775B"/>
    <w:rsid w:val="009D1758"/>
    <w:rsid w:val="009D1D8B"/>
    <w:rsid w:val="009D5223"/>
    <w:rsid w:val="009D5976"/>
    <w:rsid w:val="009D6AFD"/>
    <w:rsid w:val="009E091E"/>
    <w:rsid w:val="009E2A27"/>
    <w:rsid w:val="009E2D8B"/>
    <w:rsid w:val="009E338E"/>
    <w:rsid w:val="009E4A29"/>
    <w:rsid w:val="009E77F7"/>
    <w:rsid w:val="009F0058"/>
    <w:rsid w:val="009F2859"/>
    <w:rsid w:val="009F2EC1"/>
    <w:rsid w:val="009F4C3E"/>
    <w:rsid w:val="00A03DC7"/>
    <w:rsid w:val="00A04783"/>
    <w:rsid w:val="00A05357"/>
    <w:rsid w:val="00A111AB"/>
    <w:rsid w:val="00A12AE1"/>
    <w:rsid w:val="00A26999"/>
    <w:rsid w:val="00A2761F"/>
    <w:rsid w:val="00A279A3"/>
    <w:rsid w:val="00A307AF"/>
    <w:rsid w:val="00A30966"/>
    <w:rsid w:val="00A310CF"/>
    <w:rsid w:val="00A3338A"/>
    <w:rsid w:val="00A333D4"/>
    <w:rsid w:val="00A339FE"/>
    <w:rsid w:val="00A33DD6"/>
    <w:rsid w:val="00A350DD"/>
    <w:rsid w:val="00A362D4"/>
    <w:rsid w:val="00A36CF8"/>
    <w:rsid w:val="00A376AA"/>
    <w:rsid w:val="00A4540A"/>
    <w:rsid w:val="00A527D1"/>
    <w:rsid w:val="00A57860"/>
    <w:rsid w:val="00A57DB2"/>
    <w:rsid w:val="00A60569"/>
    <w:rsid w:val="00A62817"/>
    <w:rsid w:val="00A70737"/>
    <w:rsid w:val="00A721D3"/>
    <w:rsid w:val="00A741CD"/>
    <w:rsid w:val="00A778A8"/>
    <w:rsid w:val="00A80DE8"/>
    <w:rsid w:val="00A827BF"/>
    <w:rsid w:val="00A8524A"/>
    <w:rsid w:val="00A86328"/>
    <w:rsid w:val="00A90C09"/>
    <w:rsid w:val="00A91C55"/>
    <w:rsid w:val="00A92457"/>
    <w:rsid w:val="00A92E16"/>
    <w:rsid w:val="00A94A79"/>
    <w:rsid w:val="00A9502F"/>
    <w:rsid w:val="00A95078"/>
    <w:rsid w:val="00A96417"/>
    <w:rsid w:val="00AA1990"/>
    <w:rsid w:val="00AA36A4"/>
    <w:rsid w:val="00AA55E4"/>
    <w:rsid w:val="00AA5CF4"/>
    <w:rsid w:val="00AB030F"/>
    <w:rsid w:val="00AB1D63"/>
    <w:rsid w:val="00AB59F0"/>
    <w:rsid w:val="00AB6593"/>
    <w:rsid w:val="00AB78AE"/>
    <w:rsid w:val="00AC2FEB"/>
    <w:rsid w:val="00AC4635"/>
    <w:rsid w:val="00AC4EDC"/>
    <w:rsid w:val="00AD69CD"/>
    <w:rsid w:val="00AE0226"/>
    <w:rsid w:val="00AE2E92"/>
    <w:rsid w:val="00AE47AA"/>
    <w:rsid w:val="00AF1FE8"/>
    <w:rsid w:val="00AF53F6"/>
    <w:rsid w:val="00AF67B1"/>
    <w:rsid w:val="00AF7A52"/>
    <w:rsid w:val="00B016D2"/>
    <w:rsid w:val="00B02332"/>
    <w:rsid w:val="00B07539"/>
    <w:rsid w:val="00B1076A"/>
    <w:rsid w:val="00B10B48"/>
    <w:rsid w:val="00B10CA7"/>
    <w:rsid w:val="00B1148C"/>
    <w:rsid w:val="00B11550"/>
    <w:rsid w:val="00B12C00"/>
    <w:rsid w:val="00B140B2"/>
    <w:rsid w:val="00B14556"/>
    <w:rsid w:val="00B145A0"/>
    <w:rsid w:val="00B153DA"/>
    <w:rsid w:val="00B163A3"/>
    <w:rsid w:val="00B24505"/>
    <w:rsid w:val="00B25F24"/>
    <w:rsid w:val="00B31671"/>
    <w:rsid w:val="00B319D0"/>
    <w:rsid w:val="00B3382E"/>
    <w:rsid w:val="00B35718"/>
    <w:rsid w:val="00B36D1F"/>
    <w:rsid w:val="00B45805"/>
    <w:rsid w:val="00B513E2"/>
    <w:rsid w:val="00B51BC1"/>
    <w:rsid w:val="00B53C1A"/>
    <w:rsid w:val="00B54138"/>
    <w:rsid w:val="00B60283"/>
    <w:rsid w:val="00B60870"/>
    <w:rsid w:val="00B60EDE"/>
    <w:rsid w:val="00B61622"/>
    <w:rsid w:val="00B63BD0"/>
    <w:rsid w:val="00B641A7"/>
    <w:rsid w:val="00B6490F"/>
    <w:rsid w:val="00B6507A"/>
    <w:rsid w:val="00B6511A"/>
    <w:rsid w:val="00B65A63"/>
    <w:rsid w:val="00B7322C"/>
    <w:rsid w:val="00B73759"/>
    <w:rsid w:val="00B7519E"/>
    <w:rsid w:val="00B777C5"/>
    <w:rsid w:val="00B803B1"/>
    <w:rsid w:val="00B82EB9"/>
    <w:rsid w:val="00B82F35"/>
    <w:rsid w:val="00B8305A"/>
    <w:rsid w:val="00B83904"/>
    <w:rsid w:val="00B84EEC"/>
    <w:rsid w:val="00B8770D"/>
    <w:rsid w:val="00B877BE"/>
    <w:rsid w:val="00B921AF"/>
    <w:rsid w:val="00B921E3"/>
    <w:rsid w:val="00B945F5"/>
    <w:rsid w:val="00B949EF"/>
    <w:rsid w:val="00B979C0"/>
    <w:rsid w:val="00B97D46"/>
    <w:rsid w:val="00BA1198"/>
    <w:rsid w:val="00BA193B"/>
    <w:rsid w:val="00BA1B73"/>
    <w:rsid w:val="00BA66B9"/>
    <w:rsid w:val="00BB1668"/>
    <w:rsid w:val="00BB53DE"/>
    <w:rsid w:val="00BB5B3E"/>
    <w:rsid w:val="00BB5D56"/>
    <w:rsid w:val="00BC1AAE"/>
    <w:rsid w:val="00BC2729"/>
    <w:rsid w:val="00BC2E5F"/>
    <w:rsid w:val="00BC3564"/>
    <w:rsid w:val="00BC497E"/>
    <w:rsid w:val="00BC641A"/>
    <w:rsid w:val="00BC6661"/>
    <w:rsid w:val="00BD2CB2"/>
    <w:rsid w:val="00BD38DB"/>
    <w:rsid w:val="00BD3F76"/>
    <w:rsid w:val="00BD4F87"/>
    <w:rsid w:val="00BD5800"/>
    <w:rsid w:val="00BD6E78"/>
    <w:rsid w:val="00BD7A71"/>
    <w:rsid w:val="00BE4BA9"/>
    <w:rsid w:val="00BE5743"/>
    <w:rsid w:val="00BE73A8"/>
    <w:rsid w:val="00BF4148"/>
    <w:rsid w:val="00BF57C7"/>
    <w:rsid w:val="00C01053"/>
    <w:rsid w:val="00C014B2"/>
    <w:rsid w:val="00C05A64"/>
    <w:rsid w:val="00C06428"/>
    <w:rsid w:val="00C06FC2"/>
    <w:rsid w:val="00C11BF7"/>
    <w:rsid w:val="00C14A3A"/>
    <w:rsid w:val="00C154DC"/>
    <w:rsid w:val="00C247A4"/>
    <w:rsid w:val="00C30E20"/>
    <w:rsid w:val="00C30FD7"/>
    <w:rsid w:val="00C31661"/>
    <w:rsid w:val="00C31955"/>
    <w:rsid w:val="00C31D85"/>
    <w:rsid w:val="00C40532"/>
    <w:rsid w:val="00C42096"/>
    <w:rsid w:val="00C4539A"/>
    <w:rsid w:val="00C45D2E"/>
    <w:rsid w:val="00C45EF0"/>
    <w:rsid w:val="00C51665"/>
    <w:rsid w:val="00C51C6C"/>
    <w:rsid w:val="00C5661A"/>
    <w:rsid w:val="00C56D41"/>
    <w:rsid w:val="00C56E28"/>
    <w:rsid w:val="00C56F2E"/>
    <w:rsid w:val="00C635EF"/>
    <w:rsid w:val="00C637B4"/>
    <w:rsid w:val="00C64216"/>
    <w:rsid w:val="00C64F9F"/>
    <w:rsid w:val="00C65973"/>
    <w:rsid w:val="00C66979"/>
    <w:rsid w:val="00C67468"/>
    <w:rsid w:val="00C67F63"/>
    <w:rsid w:val="00C707B9"/>
    <w:rsid w:val="00C73447"/>
    <w:rsid w:val="00C735E5"/>
    <w:rsid w:val="00C73A86"/>
    <w:rsid w:val="00C7774B"/>
    <w:rsid w:val="00C80295"/>
    <w:rsid w:val="00C80F97"/>
    <w:rsid w:val="00C818A0"/>
    <w:rsid w:val="00C8191B"/>
    <w:rsid w:val="00C8393E"/>
    <w:rsid w:val="00C86C00"/>
    <w:rsid w:val="00C873D7"/>
    <w:rsid w:val="00C918E5"/>
    <w:rsid w:val="00C91DA1"/>
    <w:rsid w:val="00C9343E"/>
    <w:rsid w:val="00C94118"/>
    <w:rsid w:val="00C9755F"/>
    <w:rsid w:val="00C97F62"/>
    <w:rsid w:val="00CA345D"/>
    <w:rsid w:val="00CA35F3"/>
    <w:rsid w:val="00CA455D"/>
    <w:rsid w:val="00CA4E91"/>
    <w:rsid w:val="00CA7DD5"/>
    <w:rsid w:val="00CB5FB5"/>
    <w:rsid w:val="00CB7563"/>
    <w:rsid w:val="00CB7D7F"/>
    <w:rsid w:val="00CC2EEC"/>
    <w:rsid w:val="00CC5FC3"/>
    <w:rsid w:val="00CC70DD"/>
    <w:rsid w:val="00CC7616"/>
    <w:rsid w:val="00CD00C3"/>
    <w:rsid w:val="00CD0D14"/>
    <w:rsid w:val="00CD3ADE"/>
    <w:rsid w:val="00CD4E1C"/>
    <w:rsid w:val="00CD6A49"/>
    <w:rsid w:val="00CD7EEB"/>
    <w:rsid w:val="00CE1801"/>
    <w:rsid w:val="00CE27DF"/>
    <w:rsid w:val="00CE30C1"/>
    <w:rsid w:val="00CE4536"/>
    <w:rsid w:val="00CE4C0C"/>
    <w:rsid w:val="00CE5CB4"/>
    <w:rsid w:val="00CE5EC8"/>
    <w:rsid w:val="00CE6B8B"/>
    <w:rsid w:val="00CF022A"/>
    <w:rsid w:val="00CF0C3F"/>
    <w:rsid w:val="00CF1737"/>
    <w:rsid w:val="00CF27F0"/>
    <w:rsid w:val="00CF3073"/>
    <w:rsid w:val="00CF596B"/>
    <w:rsid w:val="00CF6E7B"/>
    <w:rsid w:val="00CF73FA"/>
    <w:rsid w:val="00D00C83"/>
    <w:rsid w:val="00D022EF"/>
    <w:rsid w:val="00D05DB0"/>
    <w:rsid w:val="00D062FC"/>
    <w:rsid w:val="00D07D45"/>
    <w:rsid w:val="00D10609"/>
    <w:rsid w:val="00D1359A"/>
    <w:rsid w:val="00D143A5"/>
    <w:rsid w:val="00D1493E"/>
    <w:rsid w:val="00D15C54"/>
    <w:rsid w:val="00D20A7D"/>
    <w:rsid w:val="00D20FDF"/>
    <w:rsid w:val="00D23FEE"/>
    <w:rsid w:val="00D30381"/>
    <w:rsid w:val="00D32796"/>
    <w:rsid w:val="00D33DCD"/>
    <w:rsid w:val="00D4161F"/>
    <w:rsid w:val="00D4259E"/>
    <w:rsid w:val="00D43639"/>
    <w:rsid w:val="00D45B17"/>
    <w:rsid w:val="00D46277"/>
    <w:rsid w:val="00D462A3"/>
    <w:rsid w:val="00D473DE"/>
    <w:rsid w:val="00D522E5"/>
    <w:rsid w:val="00D535FE"/>
    <w:rsid w:val="00D5473B"/>
    <w:rsid w:val="00D5525F"/>
    <w:rsid w:val="00D61258"/>
    <w:rsid w:val="00D64084"/>
    <w:rsid w:val="00D70036"/>
    <w:rsid w:val="00D7086F"/>
    <w:rsid w:val="00D71C7E"/>
    <w:rsid w:val="00D73BD3"/>
    <w:rsid w:val="00D75D4B"/>
    <w:rsid w:val="00D761C6"/>
    <w:rsid w:val="00D766DB"/>
    <w:rsid w:val="00D76963"/>
    <w:rsid w:val="00D805BF"/>
    <w:rsid w:val="00D80C85"/>
    <w:rsid w:val="00D8110D"/>
    <w:rsid w:val="00D830F0"/>
    <w:rsid w:val="00D9304C"/>
    <w:rsid w:val="00D930E9"/>
    <w:rsid w:val="00D93CEE"/>
    <w:rsid w:val="00D93D60"/>
    <w:rsid w:val="00DA4EF1"/>
    <w:rsid w:val="00DA5260"/>
    <w:rsid w:val="00DA565D"/>
    <w:rsid w:val="00DB1100"/>
    <w:rsid w:val="00DB600D"/>
    <w:rsid w:val="00DC14C9"/>
    <w:rsid w:val="00DC4329"/>
    <w:rsid w:val="00DC60D9"/>
    <w:rsid w:val="00DC7A8D"/>
    <w:rsid w:val="00DD0679"/>
    <w:rsid w:val="00DD0CD4"/>
    <w:rsid w:val="00DD0EE0"/>
    <w:rsid w:val="00DD31B8"/>
    <w:rsid w:val="00DD3672"/>
    <w:rsid w:val="00DD4113"/>
    <w:rsid w:val="00DE2A94"/>
    <w:rsid w:val="00DE4304"/>
    <w:rsid w:val="00DE4808"/>
    <w:rsid w:val="00DF1B65"/>
    <w:rsid w:val="00DF4FC0"/>
    <w:rsid w:val="00DF6A47"/>
    <w:rsid w:val="00DF77C5"/>
    <w:rsid w:val="00E0017D"/>
    <w:rsid w:val="00E03031"/>
    <w:rsid w:val="00E04120"/>
    <w:rsid w:val="00E06B1E"/>
    <w:rsid w:val="00E07F98"/>
    <w:rsid w:val="00E111C1"/>
    <w:rsid w:val="00E12411"/>
    <w:rsid w:val="00E12E51"/>
    <w:rsid w:val="00E1498E"/>
    <w:rsid w:val="00E14E0D"/>
    <w:rsid w:val="00E2180B"/>
    <w:rsid w:val="00E222D6"/>
    <w:rsid w:val="00E235BE"/>
    <w:rsid w:val="00E25156"/>
    <w:rsid w:val="00E25BC9"/>
    <w:rsid w:val="00E26454"/>
    <w:rsid w:val="00E2788D"/>
    <w:rsid w:val="00E30A9D"/>
    <w:rsid w:val="00E35A0D"/>
    <w:rsid w:val="00E4165B"/>
    <w:rsid w:val="00E43207"/>
    <w:rsid w:val="00E4621E"/>
    <w:rsid w:val="00E52027"/>
    <w:rsid w:val="00E57F8A"/>
    <w:rsid w:val="00E60566"/>
    <w:rsid w:val="00E620BD"/>
    <w:rsid w:val="00E65B64"/>
    <w:rsid w:val="00E67746"/>
    <w:rsid w:val="00E7088C"/>
    <w:rsid w:val="00E72932"/>
    <w:rsid w:val="00E72B81"/>
    <w:rsid w:val="00E7468D"/>
    <w:rsid w:val="00E75354"/>
    <w:rsid w:val="00E77643"/>
    <w:rsid w:val="00E7792B"/>
    <w:rsid w:val="00E808BC"/>
    <w:rsid w:val="00E80F98"/>
    <w:rsid w:val="00E838E5"/>
    <w:rsid w:val="00E84531"/>
    <w:rsid w:val="00E8569C"/>
    <w:rsid w:val="00E86941"/>
    <w:rsid w:val="00E87F9E"/>
    <w:rsid w:val="00EA0720"/>
    <w:rsid w:val="00EA2081"/>
    <w:rsid w:val="00EB4AA9"/>
    <w:rsid w:val="00EB5100"/>
    <w:rsid w:val="00EC3764"/>
    <w:rsid w:val="00EC4E5D"/>
    <w:rsid w:val="00EC61AF"/>
    <w:rsid w:val="00ED0CF3"/>
    <w:rsid w:val="00ED28E4"/>
    <w:rsid w:val="00ED3266"/>
    <w:rsid w:val="00ED333A"/>
    <w:rsid w:val="00ED4216"/>
    <w:rsid w:val="00ED4F12"/>
    <w:rsid w:val="00ED5766"/>
    <w:rsid w:val="00ED5D94"/>
    <w:rsid w:val="00ED6582"/>
    <w:rsid w:val="00EE0885"/>
    <w:rsid w:val="00EE134F"/>
    <w:rsid w:val="00EE37C1"/>
    <w:rsid w:val="00EE744F"/>
    <w:rsid w:val="00EF192D"/>
    <w:rsid w:val="00EF2713"/>
    <w:rsid w:val="00EF298C"/>
    <w:rsid w:val="00EF383A"/>
    <w:rsid w:val="00EF4A43"/>
    <w:rsid w:val="00EF50F0"/>
    <w:rsid w:val="00EF54D3"/>
    <w:rsid w:val="00EF64E8"/>
    <w:rsid w:val="00EF6913"/>
    <w:rsid w:val="00EF6D58"/>
    <w:rsid w:val="00EF7CF8"/>
    <w:rsid w:val="00F005C9"/>
    <w:rsid w:val="00F0067B"/>
    <w:rsid w:val="00F01CD0"/>
    <w:rsid w:val="00F02392"/>
    <w:rsid w:val="00F03BBC"/>
    <w:rsid w:val="00F06382"/>
    <w:rsid w:val="00F067BD"/>
    <w:rsid w:val="00F1237D"/>
    <w:rsid w:val="00F15F4E"/>
    <w:rsid w:val="00F16560"/>
    <w:rsid w:val="00F23640"/>
    <w:rsid w:val="00F2428A"/>
    <w:rsid w:val="00F273CF"/>
    <w:rsid w:val="00F30AF0"/>
    <w:rsid w:val="00F324AE"/>
    <w:rsid w:val="00F334B5"/>
    <w:rsid w:val="00F4280C"/>
    <w:rsid w:val="00F5143A"/>
    <w:rsid w:val="00F522BF"/>
    <w:rsid w:val="00F52D3C"/>
    <w:rsid w:val="00F56248"/>
    <w:rsid w:val="00F56A68"/>
    <w:rsid w:val="00F56BBF"/>
    <w:rsid w:val="00F56D4E"/>
    <w:rsid w:val="00F65811"/>
    <w:rsid w:val="00F66158"/>
    <w:rsid w:val="00F66403"/>
    <w:rsid w:val="00F66EDA"/>
    <w:rsid w:val="00F673E1"/>
    <w:rsid w:val="00F6741C"/>
    <w:rsid w:val="00F67421"/>
    <w:rsid w:val="00F71ACB"/>
    <w:rsid w:val="00F7311E"/>
    <w:rsid w:val="00F7542C"/>
    <w:rsid w:val="00F75A36"/>
    <w:rsid w:val="00F807B3"/>
    <w:rsid w:val="00F80CA1"/>
    <w:rsid w:val="00F87308"/>
    <w:rsid w:val="00F91CE9"/>
    <w:rsid w:val="00F958BE"/>
    <w:rsid w:val="00F9756D"/>
    <w:rsid w:val="00FA1037"/>
    <w:rsid w:val="00FA4778"/>
    <w:rsid w:val="00FA5989"/>
    <w:rsid w:val="00FA5F20"/>
    <w:rsid w:val="00FB1733"/>
    <w:rsid w:val="00FB354C"/>
    <w:rsid w:val="00FB38CC"/>
    <w:rsid w:val="00FB4410"/>
    <w:rsid w:val="00FB4B13"/>
    <w:rsid w:val="00FB4BE7"/>
    <w:rsid w:val="00FB4BF1"/>
    <w:rsid w:val="00FB66EC"/>
    <w:rsid w:val="00FB679B"/>
    <w:rsid w:val="00FB6C92"/>
    <w:rsid w:val="00FB6F38"/>
    <w:rsid w:val="00FC018B"/>
    <w:rsid w:val="00FC171F"/>
    <w:rsid w:val="00FC2AE8"/>
    <w:rsid w:val="00FC2D18"/>
    <w:rsid w:val="00FC4382"/>
    <w:rsid w:val="00FC5F9F"/>
    <w:rsid w:val="00FD5731"/>
    <w:rsid w:val="00FD68CB"/>
    <w:rsid w:val="00FE00D5"/>
    <w:rsid w:val="00FE0745"/>
    <w:rsid w:val="00FE4A5B"/>
    <w:rsid w:val="00FE5995"/>
    <w:rsid w:val="00FE6396"/>
    <w:rsid w:val="00FE647E"/>
    <w:rsid w:val="00FF5A0E"/>
    <w:rsid w:val="00FF679A"/>
    <w:rsid w:val="00FF6BF4"/>
    <w:rsid w:val="013365CF"/>
    <w:rsid w:val="01446534"/>
    <w:rsid w:val="017D75B5"/>
    <w:rsid w:val="02156DEE"/>
    <w:rsid w:val="02212FFC"/>
    <w:rsid w:val="022A195E"/>
    <w:rsid w:val="023A77DC"/>
    <w:rsid w:val="02CF6AD5"/>
    <w:rsid w:val="03BF78FA"/>
    <w:rsid w:val="03EB2DB2"/>
    <w:rsid w:val="04111D83"/>
    <w:rsid w:val="056E5BE4"/>
    <w:rsid w:val="05731A8C"/>
    <w:rsid w:val="0778504C"/>
    <w:rsid w:val="07A91012"/>
    <w:rsid w:val="09061066"/>
    <w:rsid w:val="09BB18DB"/>
    <w:rsid w:val="0AC865B9"/>
    <w:rsid w:val="0AD840BB"/>
    <w:rsid w:val="0C2D2161"/>
    <w:rsid w:val="0C2D5973"/>
    <w:rsid w:val="0CED33DB"/>
    <w:rsid w:val="0D4D78DE"/>
    <w:rsid w:val="0D6E25F1"/>
    <w:rsid w:val="0DC758CB"/>
    <w:rsid w:val="0E93326F"/>
    <w:rsid w:val="0EAF7705"/>
    <w:rsid w:val="0EB8709D"/>
    <w:rsid w:val="0EE47AFE"/>
    <w:rsid w:val="0F1016C4"/>
    <w:rsid w:val="0F3F5F3E"/>
    <w:rsid w:val="0F7B3FFD"/>
    <w:rsid w:val="100F54D9"/>
    <w:rsid w:val="1037529B"/>
    <w:rsid w:val="108058E7"/>
    <w:rsid w:val="1315497A"/>
    <w:rsid w:val="131E3BD1"/>
    <w:rsid w:val="13286831"/>
    <w:rsid w:val="13F070B2"/>
    <w:rsid w:val="16F26892"/>
    <w:rsid w:val="17FC74F6"/>
    <w:rsid w:val="18AD66C3"/>
    <w:rsid w:val="195C4105"/>
    <w:rsid w:val="1A0F1F48"/>
    <w:rsid w:val="1A0F43D0"/>
    <w:rsid w:val="1AD23E8A"/>
    <w:rsid w:val="1B5F407D"/>
    <w:rsid w:val="1CB76270"/>
    <w:rsid w:val="1D000307"/>
    <w:rsid w:val="1D365369"/>
    <w:rsid w:val="1E0C152D"/>
    <w:rsid w:val="1EEF5481"/>
    <w:rsid w:val="1EF50E5F"/>
    <w:rsid w:val="200E4109"/>
    <w:rsid w:val="204357F6"/>
    <w:rsid w:val="20507F04"/>
    <w:rsid w:val="20873E4F"/>
    <w:rsid w:val="20F45A0C"/>
    <w:rsid w:val="21562E0D"/>
    <w:rsid w:val="224F734D"/>
    <w:rsid w:val="2272079E"/>
    <w:rsid w:val="22BD00C8"/>
    <w:rsid w:val="238C2074"/>
    <w:rsid w:val="23E920DE"/>
    <w:rsid w:val="24A74DDE"/>
    <w:rsid w:val="25106222"/>
    <w:rsid w:val="257D64A9"/>
    <w:rsid w:val="25AE4F48"/>
    <w:rsid w:val="270B73BD"/>
    <w:rsid w:val="27EB65CF"/>
    <w:rsid w:val="28565B7B"/>
    <w:rsid w:val="29B8455A"/>
    <w:rsid w:val="29E07BBF"/>
    <w:rsid w:val="2AD12677"/>
    <w:rsid w:val="2B617AD8"/>
    <w:rsid w:val="2CD80932"/>
    <w:rsid w:val="2D2746B4"/>
    <w:rsid w:val="2D307499"/>
    <w:rsid w:val="2D7B421D"/>
    <w:rsid w:val="2DAC2B48"/>
    <w:rsid w:val="2F543672"/>
    <w:rsid w:val="2F6E6DAA"/>
    <w:rsid w:val="2FBE3BC8"/>
    <w:rsid w:val="2FC559B4"/>
    <w:rsid w:val="2FE51C40"/>
    <w:rsid w:val="30060E18"/>
    <w:rsid w:val="308A6403"/>
    <w:rsid w:val="3101031A"/>
    <w:rsid w:val="314A222B"/>
    <w:rsid w:val="32416568"/>
    <w:rsid w:val="329D141A"/>
    <w:rsid w:val="333546F4"/>
    <w:rsid w:val="33D34A31"/>
    <w:rsid w:val="33F3125C"/>
    <w:rsid w:val="340F2948"/>
    <w:rsid w:val="343D3DCE"/>
    <w:rsid w:val="34D31A92"/>
    <w:rsid w:val="35760257"/>
    <w:rsid w:val="37D94739"/>
    <w:rsid w:val="37DB6DF1"/>
    <w:rsid w:val="3A117ADA"/>
    <w:rsid w:val="3A720188"/>
    <w:rsid w:val="3D613E6D"/>
    <w:rsid w:val="3D9A5115"/>
    <w:rsid w:val="3D9B183C"/>
    <w:rsid w:val="3DAB76FB"/>
    <w:rsid w:val="3DCC2B4B"/>
    <w:rsid w:val="3E0431EE"/>
    <w:rsid w:val="3E1B299F"/>
    <w:rsid w:val="3EC267AA"/>
    <w:rsid w:val="3F001790"/>
    <w:rsid w:val="3FD45FED"/>
    <w:rsid w:val="3FFE685A"/>
    <w:rsid w:val="40321AF1"/>
    <w:rsid w:val="40BB1900"/>
    <w:rsid w:val="41885612"/>
    <w:rsid w:val="424E7AF4"/>
    <w:rsid w:val="432425FF"/>
    <w:rsid w:val="43765E71"/>
    <w:rsid w:val="44F84A85"/>
    <w:rsid w:val="456641AA"/>
    <w:rsid w:val="46292899"/>
    <w:rsid w:val="46FD5BE3"/>
    <w:rsid w:val="47137DBD"/>
    <w:rsid w:val="4823314C"/>
    <w:rsid w:val="4906092C"/>
    <w:rsid w:val="49911E6B"/>
    <w:rsid w:val="49973EFE"/>
    <w:rsid w:val="4A27425E"/>
    <w:rsid w:val="4A2A24D6"/>
    <w:rsid w:val="4A547EB4"/>
    <w:rsid w:val="4ADA371A"/>
    <w:rsid w:val="4B380DBC"/>
    <w:rsid w:val="4B583A72"/>
    <w:rsid w:val="4BB15DED"/>
    <w:rsid w:val="4BDC6602"/>
    <w:rsid w:val="4BF85821"/>
    <w:rsid w:val="4C6450DD"/>
    <w:rsid w:val="4E240EDA"/>
    <w:rsid w:val="4EB6197B"/>
    <w:rsid w:val="4F0A6E46"/>
    <w:rsid w:val="4F3B560D"/>
    <w:rsid w:val="4F9E0367"/>
    <w:rsid w:val="50D372DC"/>
    <w:rsid w:val="516A44CE"/>
    <w:rsid w:val="51954E96"/>
    <w:rsid w:val="521A3054"/>
    <w:rsid w:val="526245C8"/>
    <w:rsid w:val="528B4560"/>
    <w:rsid w:val="528B557B"/>
    <w:rsid w:val="52BF0C4E"/>
    <w:rsid w:val="52F64806"/>
    <w:rsid w:val="539C25B1"/>
    <w:rsid w:val="54A233B6"/>
    <w:rsid w:val="54A93653"/>
    <w:rsid w:val="54F7431D"/>
    <w:rsid w:val="551163F3"/>
    <w:rsid w:val="55160C79"/>
    <w:rsid w:val="5653077D"/>
    <w:rsid w:val="567F71BE"/>
    <w:rsid w:val="569C0EE0"/>
    <w:rsid w:val="569D4C8C"/>
    <w:rsid w:val="57177913"/>
    <w:rsid w:val="576A35E6"/>
    <w:rsid w:val="57C32EFC"/>
    <w:rsid w:val="581631F2"/>
    <w:rsid w:val="5842464A"/>
    <w:rsid w:val="599B11E0"/>
    <w:rsid w:val="59B836F2"/>
    <w:rsid w:val="5A3C166E"/>
    <w:rsid w:val="5A481D49"/>
    <w:rsid w:val="5A7B0A67"/>
    <w:rsid w:val="5B1B5564"/>
    <w:rsid w:val="5B8E4D2B"/>
    <w:rsid w:val="5BDA62C2"/>
    <w:rsid w:val="5C9A19A0"/>
    <w:rsid w:val="5DE63603"/>
    <w:rsid w:val="5E170CC3"/>
    <w:rsid w:val="5E6C2D53"/>
    <w:rsid w:val="5F054AE9"/>
    <w:rsid w:val="5F73375A"/>
    <w:rsid w:val="61627715"/>
    <w:rsid w:val="62111E59"/>
    <w:rsid w:val="623E281A"/>
    <w:rsid w:val="62524539"/>
    <w:rsid w:val="626B428E"/>
    <w:rsid w:val="62D274DD"/>
    <w:rsid w:val="63402FC8"/>
    <w:rsid w:val="63E858BC"/>
    <w:rsid w:val="642E49A8"/>
    <w:rsid w:val="64D228CF"/>
    <w:rsid w:val="64FE1A2D"/>
    <w:rsid w:val="65CC0C39"/>
    <w:rsid w:val="66ED5DA6"/>
    <w:rsid w:val="670103DE"/>
    <w:rsid w:val="678B2EF0"/>
    <w:rsid w:val="6803277C"/>
    <w:rsid w:val="68395687"/>
    <w:rsid w:val="69046512"/>
    <w:rsid w:val="69C43C60"/>
    <w:rsid w:val="6A887E5D"/>
    <w:rsid w:val="6B4C4282"/>
    <w:rsid w:val="6D073203"/>
    <w:rsid w:val="6D0C3EB7"/>
    <w:rsid w:val="6D2B0FC0"/>
    <w:rsid w:val="6E85283A"/>
    <w:rsid w:val="6EE75891"/>
    <w:rsid w:val="702A4A0C"/>
    <w:rsid w:val="707D0E0A"/>
    <w:rsid w:val="710D0EE7"/>
    <w:rsid w:val="71CA3C49"/>
    <w:rsid w:val="722901BA"/>
    <w:rsid w:val="722B6709"/>
    <w:rsid w:val="724B1230"/>
    <w:rsid w:val="72512E96"/>
    <w:rsid w:val="72601C75"/>
    <w:rsid w:val="735A3C10"/>
    <w:rsid w:val="73F76419"/>
    <w:rsid w:val="756775E6"/>
    <w:rsid w:val="75CD6A4E"/>
    <w:rsid w:val="75D608E5"/>
    <w:rsid w:val="772B4BC9"/>
    <w:rsid w:val="779F36CA"/>
    <w:rsid w:val="7902251D"/>
    <w:rsid w:val="795A62DC"/>
    <w:rsid w:val="799817C5"/>
    <w:rsid w:val="7A096965"/>
    <w:rsid w:val="7A507B63"/>
    <w:rsid w:val="7B44308A"/>
    <w:rsid w:val="7BAE0A76"/>
    <w:rsid w:val="7C307E10"/>
    <w:rsid w:val="7D586655"/>
    <w:rsid w:val="7D9E63F3"/>
    <w:rsid w:val="7E335CA5"/>
    <w:rsid w:val="7EBE03AE"/>
    <w:rsid w:val="7F312AAA"/>
    <w:rsid w:val="7F7A742B"/>
    <w:rsid w:val="7FBD5D9E"/>
    <w:rsid w:val="7FEF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9"/>
    <w:qFormat/>
    <w:uiPriority w:val="0"/>
    <w:pPr>
      <w:keepNext/>
      <w:outlineLvl w:val="0"/>
    </w:pPr>
    <w:rPr>
      <w:rFonts w:ascii="楷体_GB2312" w:eastAsia="楷体_GB2312"/>
      <w:kern w:val="0"/>
      <w:sz w:val="28"/>
      <w:szCs w:val="20"/>
    </w:rPr>
  </w:style>
  <w:style w:type="paragraph" w:styleId="5">
    <w:name w:val="heading 2"/>
    <w:basedOn w:val="1"/>
    <w:next w:val="1"/>
    <w:link w:val="40"/>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1"/>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42"/>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43"/>
    <w:qFormat/>
    <w:uiPriority w:val="9"/>
    <w:pPr>
      <w:keepNext/>
      <w:keepLines/>
      <w:spacing w:before="280" w:after="290" w:line="376" w:lineRule="auto"/>
      <w:outlineLvl w:val="4"/>
    </w:pPr>
    <w:rPr>
      <w:b/>
      <w:bCs/>
      <w:kern w:val="0"/>
      <w:sz w:val="28"/>
      <w:szCs w:val="28"/>
    </w:rPr>
  </w:style>
  <w:style w:type="paragraph" w:styleId="9">
    <w:name w:val="heading 7"/>
    <w:basedOn w:val="1"/>
    <w:next w:val="1"/>
    <w:link w:val="44"/>
    <w:qFormat/>
    <w:uiPriority w:val="9"/>
    <w:pPr>
      <w:keepNext/>
      <w:keepLines/>
      <w:spacing w:before="240" w:after="64" w:line="320" w:lineRule="auto"/>
      <w:outlineLvl w:val="6"/>
    </w:pPr>
    <w:rPr>
      <w:b/>
      <w:bCs/>
      <w:sz w:val="24"/>
      <w:szCs w:val="24"/>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38"/>
    <w:qFormat/>
    <w:uiPriority w:val="0"/>
    <w:rPr>
      <w:rFonts w:ascii="楷体_GB2312" w:hAnsi="Arial" w:eastAsia="楷体_GB2312"/>
      <w:kern w:val="0"/>
      <w:sz w:val="28"/>
      <w:szCs w:val="20"/>
    </w:rPr>
  </w:style>
  <w:style w:type="paragraph" w:styleId="10">
    <w:name w:val="Normal Indent"/>
    <w:basedOn w:val="1"/>
    <w:link w:val="45"/>
    <w:unhideWhenUsed/>
    <w:qFormat/>
    <w:uiPriority w:val="0"/>
    <w:pPr>
      <w:ind w:firstLine="420" w:firstLineChars="200"/>
    </w:pPr>
  </w:style>
  <w:style w:type="paragraph" w:styleId="11">
    <w:name w:val="annotation text"/>
    <w:basedOn w:val="1"/>
    <w:link w:val="46"/>
    <w:unhideWhenUsed/>
    <w:qFormat/>
    <w:uiPriority w:val="99"/>
    <w:pPr>
      <w:jc w:val="left"/>
    </w:pPr>
  </w:style>
  <w:style w:type="paragraph" w:styleId="12">
    <w:name w:val="Body Text Indent"/>
    <w:basedOn w:val="1"/>
    <w:next w:val="13"/>
    <w:link w:val="47"/>
    <w:unhideWhenUsed/>
    <w:qFormat/>
    <w:uiPriority w:val="99"/>
    <w:pPr>
      <w:spacing w:after="120"/>
      <w:ind w:left="420" w:leftChars="200"/>
    </w:pPr>
  </w:style>
  <w:style w:type="paragraph" w:styleId="13">
    <w:name w:val="envelope return"/>
    <w:basedOn w:val="1"/>
    <w:unhideWhenUsed/>
    <w:qFormat/>
    <w:uiPriority w:val="99"/>
    <w:pPr>
      <w:snapToGrid w:val="0"/>
    </w:pPr>
    <w:rPr>
      <w:rFonts w:ascii="Arial" w:hAnsi="Arial"/>
    </w:rPr>
  </w:style>
  <w:style w:type="paragraph" w:styleId="14">
    <w:name w:val="toc 3"/>
    <w:basedOn w:val="1"/>
    <w:next w:val="1"/>
    <w:unhideWhenUsed/>
    <w:qFormat/>
    <w:uiPriority w:val="39"/>
    <w:pPr>
      <w:ind w:left="840" w:leftChars="400"/>
    </w:pPr>
  </w:style>
  <w:style w:type="paragraph" w:styleId="15">
    <w:name w:val="Plain Text"/>
    <w:basedOn w:val="1"/>
    <w:link w:val="48"/>
    <w:qFormat/>
    <w:uiPriority w:val="0"/>
    <w:rPr>
      <w:rFonts w:ascii="宋体" w:hAnsi="Courier New"/>
      <w:kern w:val="0"/>
      <w:sz w:val="20"/>
      <w:szCs w:val="20"/>
    </w:rPr>
  </w:style>
  <w:style w:type="paragraph" w:styleId="16">
    <w:name w:val="Date"/>
    <w:basedOn w:val="1"/>
    <w:next w:val="1"/>
    <w:link w:val="49"/>
    <w:qFormat/>
    <w:uiPriority w:val="0"/>
    <w:rPr>
      <w:kern w:val="0"/>
      <w:sz w:val="24"/>
      <w:szCs w:val="20"/>
    </w:rPr>
  </w:style>
  <w:style w:type="paragraph" w:styleId="17">
    <w:name w:val="Balloon Text"/>
    <w:basedOn w:val="1"/>
    <w:link w:val="50"/>
    <w:unhideWhenUsed/>
    <w:qFormat/>
    <w:uiPriority w:val="99"/>
    <w:rPr>
      <w:kern w:val="0"/>
      <w:sz w:val="18"/>
      <w:szCs w:val="18"/>
    </w:rPr>
  </w:style>
  <w:style w:type="paragraph" w:styleId="18">
    <w:name w:val="footer"/>
    <w:basedOn w:val="1"/>
    <w:link w:val="51"/>
    <w:unhideWhenUsed/>
    <w:qFormat/>
    <w:uiPriority w:val="99"/>
    <w:pPr>
      <w:tabs>
        <w:tab w:val="center" w:pos="4153"/>
        <w:tab w:val="right" w:pos="8306"/>
      </w:tabs>
      <w:snapToGrid w:val="0"/>
      <w:jc w:val="left"/>
    </w:pPr>
    <w:rPr>
      <w:kern w:val="0"/>
      <w:sz w:val="18"/>
      <w:szCs w:val="18"/>
    </w:rPr>
  </w:style>
  <w:style w:type="paragraph" w:styleId="19">
    <w:name w:val="header"/>
    <w:basedOn w:val="1"/>
    <w:link w:val="5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ind w:left="1260" w:leftChars="600"/>
    </w:pPr>
  </w:style>
  <w:style w:type="paragraph" w:styleId="22">
    <w:name w:val="footnote text"/>
    <w:basedOn w:val="1"/>
    <w:link w:val="53"/>
    <w:unhideWhenUsed/>
    <w:qFormat/>
    <w:uiPriority w:val="99"/>
    <w:pPr>
      <w:snapToGrid w:val="0"/>
      <w:jc w:val="left"/>
    </w:pPr>
    <w:rPr>
      <w:sz w:val="18"/>
      <w:szCs w:val="18"/>
    </w:rPr>
  </w:style>
  <w:style w:type="paragraph" w:styleId="23">
    <w:name w:val="toc 2"/>
    <w:basedOn w:val="1"/>
    <w:next w:val="1"/>
    <w:unhideWhenUsed/>
    <w:qFormat/>
    <w:uiPriority w:val="39"/>
    <w:pPr>
      <w:ind w:left="420" w:leftChars="200"/>
    </w:pPr>
  </w:style>
  <w:style w:type="paragraph" w:styleId="24">
    <w:name w:val="Body Text 2"/>
    <w:basedOn w:val="1"/>
    <w:link w:val="54"/>
    <w:unhideWhenUsed/>
    <w:qFormat/>
    <w:uiPriority w:val="99"/>
    <w:pPr>
      <w:spacing w:after="120" w:line="480" w:lineRule="auto"/>
    </w:pPr>
  </w:style>
  <w:style w:type="paragraph" w:styleId="25">
    <w:name w:val="HTML Preformatted"/>
    <w:basedOn w:val="1"/>
    <w:link w:val="55"/>
    <w:qFormat/>
    <w:uiPriority w:val="0"/>
    <w:pPr>
      <w:adjustRightInd w:val="0"/>
      <w:spacing w:line="360" w:lineRule="atLeast"/>
      <w:textAlignment w:val="baseline"/>
    </w:pPr>
    <w:rPr>
      <w:rFonts w:ascii="Courier New" w:hAnsi="Courier New"/>
      <w:kern w:val="0"/>
      <w:sz w:val="20"/>
      <w:szCs w:val="20"/>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6"/>
    <w:qFormat/>
    <w:uiPriority w:val="10"/>
    <w:pPr>
      <w:spacing w:before="240" w:after="60"/>
      <w:jc w:val="center"/>
      <w:outlineLvl w:val="0"/>
    </w:pPr>
    <w:rPr>
      <w:rFonts w:ascii="Cambria" w:hAnsi="Cambria"/>
      <w:b/>
      <w:bCs/>
      <w:kern w:val="0"/>
      <w:sz w:val="32"/>
      <w:szCs w:val="32"/>
    </w:rPr>
  </w:style>
  <w:style w:type="paragraph" w:styleId="28">
    <w:name w:val="annotation subject"/>
    <w:basedOn w:val="11"/>
    <w:next w:val="11"/>
    <w:link w:val="57"/>
    <w:unhideWhenUsed/>
    <w:qFormat/>
    <w:uiPriority w:val="99"/>
    <w:rPr>
      <w:b/>
      <w:bCs/>
      <w:kern w:val="0"/>
      <w:sz w:val="20"/>
      <w:szCs w:val="20"/>
    </w:rPr>
  </w:style>
  <w:style w:type="paragraph" w:styleId="29">
    <w:name w:val="Body Text First Indent 2"/>
    <w:basedOn w:val="12"/>
    <w:unhideWhenUsed/>
    <w:qFormat/>
    <w:uiPriority w:val="99"/>
    <w:pPr>
      <w:ind w:firstLine="200" w:firstLineChars="2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unhideWhenUsed/>
    <w:qFormat/>
    <w:uiPriority w:val="99"/>
    <w:rPr>
      <w:color w:val="0563C1"/>
      <w:u w:val="single"/>
    </w:rPr>
  </w:style>
  <w:style w:type="character" w:styleId="37">
    <w:name w:val="annotation reference"/>
    <w:unhideWhenUsed/>
    <w:qFormat/>
    <w:uiPriority w:val="99"/>
    <w:rPr>
      <w:sz w:val="21"/>
      <w:szCs w:val="21"/>
    </w:rPr>
  </w:style>
  <w:style w:type="character" w:customStyle="1" w:styleId="38">
    <w:name w:val="正文文本 Char"/>
    <w:link w:val="3"/>
    <w:qFormat/>
    <w:uiPriority w:val="0"/>
    <w:rPr>
      <w:rFonts w:ascii="楷体_GB2312" w:hAnsi="Arial" w:eastAsia="楷体_GB2312" w:cs="Times New Roman"/>
      <w:sz w:val="28"/>
      <w:szCs w:val="20"/>
    </w:rPr>
  </w:style>
  <w:style w:type="character" w:customStyle="1" w:styleId="39">
    <w:name w:val="标题 1 Char"/>
    <w:link w:val="4"/>
    <w:qFormat/>
    <w:uiPriority w:val="0"/>
    <w:rPr>
      <w:rFonts w:ascii="楷体_GB2312" w:hAnsi="Times New Roman" w:eastAsia="楷体_GB2312" w:cs="Times New Roman"/>
      <w:sz w:val="28"/>
      <w:szCs w:val="20"/>
    </w:rPr>
  </w:style>
  <w:style w:type="character" w:customStyle="1" w:styleId="40">
    <w:name w:val="标题 2 Char"/>
    <w:link w:val="5"/>
    <w:qFormat/>
    <w:uiPriority w:val="9"/>
    <w:rPr>
      <w:rFonts w:ascii="Arial" w:hAnsi="Arial" w:eastAsia="幼圆" w:cs="Times New Roman"/>
      <w:b/>
      <w:sz w:val="44"/>
      <w:szCs w:val="20"/>
    </w:rPr>
  </w:style>
  <w:style w:type="character" w:customStyle="1" w:styleId="41">
    <w:name w:val="标题 3 Char"/>
    <w:link w:val="6"/>
    <w:qFormat/>
    <w:uiPriority w:val="9"/>
    <w:rPr>
      <w:b/>
      <w:bCs/>
      <w:sz w:val="32"/>
      <w:szCs w:val="32"/>
    </w:rPr>
  </w:style>
  <w:style w:type="character" w:customStyle="1" w:styleId="42">
    <w:name w:val="标题 4 Char"/>
    <w:link w:val="7"/>
    <w:qFormat/>
    <w:uiPriority w:val="9"/>
    <w:rPr>
      <w:rFonts w:ascii="Cambria" w:hAnsi="Cambria" w:eastAsia="宋体" w:cs="Times New Roman"/>
      <w:b/>
      <w:bCs/>
      <w:sz w:val="28"/>
      <w:szCs w:val="28"/>
    </w:rPr>
  </w:style>
  <w:style w:type="character" w:customStyle="1" w:styleId="43">
    <w:name w:val="标题 5 Char"/>
    <w:link w:val="8"/>
    <w:qFormat/>
    <w:uiPriority w:val="9"/>
    <w:rPr>
      <w:b/>
      <w:bCs/>
      <w:sz w:val="28"/>
      <w:szCs w:val="28"/>
    </w:rPr>
  </w:style>
  <w:style w:type="character" w:customStyle="1" w:styleId="44">
    <w:name w:val="标题 7 Char"/>
    <w:link w:val="9"/>
    <w:semiHidden/>
    <w:qFormat/>
    <w:uiPriority w:val="9"/>
    <w:rPr>
      <w:b/>
      <w:bCs/>
      <w:kern w:val="2"/>
      <w:sz w:val="24"/>
      <w:szCs w:val="24"/>
    </w:rPr>
  </w:style>
  <w:style w:type="character" w:customStyle="1" w:styleId="45">
    <w:name w:val="正文缩进 Char"/>
    <w:link w:val="10"/>
    <w:qFormat/>
    <w:uiPriority w:val="0"/>
    <w:rPr>
      <w:kern w:val="2"/>
      <w:sz w:val="21"/>
      <w:szCs w:val="22"/>
    </w:rPr>
  </w:style>
  <w:style w:type="character" w:customStyle="1" w:styleId="46">
    <w:name w:val="批注文字 Char"/>
    <w:basedOn w:val="32"/>
    <w:link w:val="11"/>
    <w:semiHidden/>
    <w:qFormat/>
    <w:uiPriority w:val="99"/>
  </w:style>
  <w:style w:type="character" w:customStyle="1" w:styleId="47">
    <w:name w:val="正文文本缩进 Char1"/>
    <w:link w:val="12"/>
    <w:semiHidden/>
    <w:qFormat/>
    <w:uiPriority w:val="99"/>
    <w:rPr>
      <w:kern w:val="2"/>
      <w:sz w:val="21"/>
      <w:szCs w:val="22"/>
    </w:rPr>
  </w:style>
  <w:style w:type="character" w:customStyle="1" w:styleId="48">
    <w:name w:val="纯文本 Char1"/>
    <w:link w:val="15"/>
    <w:qFormat/>
    <w:uiPriority w:val="0"/>
    <w:rPr>
      <w:rFonts w:ascii="宋体" w:hAnsi="Courier New" w:eastAsia="宋体" w:cs="Times New Roman"/>
      <w:szCs w:val="20"/>
    </w:rPr>
  </w:style>
  <w:style w:type="character" w:customStyle="1" w:styleId="49">
    <w:name w:val="日期 Char"/>
    <w:link w:val="16"/>
    <w:qFormat/>
    <w:uiPriority w:val="0"/>
    <w:rPr>
      <w:rFonts w:ascii="Times New Roman" w:hAnsi="Times New Roman" w:eastAsia="宋体" w:cs="Times New Roman"/>
      <w:sz w:val="24"/>
      <w:szCs w:val="20"/>
    </w:rPr>
  </w:style>
  <w:style w:type="character" w:customStyle="1" w:styleId="50">
    <w:name w:val="批注框文本 Char"/>
    <w:link w:val="17"/>
    <w:semiHidden/>
    <w:qFormat/>
    <w:uiPriority w:val="99"/>
    <w:rPr>
      <w:sz w:val="18"/>
      <w:szCs w:val="18"/>
    </w:rPr>
  </w:style>
  <w:style w:type="character" w:customStyle="1" w:styleId="51">
    <w:name w:val="页脚 Char1"/>
    <w:link w:val="18"/>
    <w:qFormat/>
    <w:uiPriority w:val="99"/>
    <w:rPr>
      <w:sz w:val="18"/>
      <w:szCs w:val="18"/>
    </w:rPr>
  </w:style>
  <w:style w:type="character" w:customStyle="1" w:styleId="52">
    <w:name w:val="页眉 Char"/>
    <w:link w:val="19"/>
    <w:qFormat/>
    <w:uiPriority w:val="99"/>
    <w:rPr>
      <w:sz w:val="18"/>
      <w:szCs w:val="18"/>
    </w:rPr>
  </w:style>
  <w:style w:type="character" w:customStyle="1" w:styleId="53">
    <w:name w:val="脚注文本 Char"/>
    <w:link w:val="22"/>
    <w:semiHidden/>
    <w:qFormat/>
    <w:uiPriority w:val="99"/>
    <w:rPr>
      <w:kern w:val="2"/>
      <w:sz w:val="18"/>
      <w:szCs w:val="18"/>
    </w:rPr>
  </w:style>
  <w:style w:type="character" w:customStyle="1" w:styleId="54">
    <w:name w:val="正文文本 2 Char"/>
    <w:link w:val="24"/>
    <w:semiHidden/>
    <w:qFormat/>
    <w:uiPriority w:val="99"/>
    <w:rPr>
      <w:kern w:val="2"/>
      <w:sz w:val="21"/>
      <w:szCs w:val="22"/>
    </w:rPr>
  </w:style>
  <w:style w:type="character" w:customStyle="1" w:styleId="55">
    <w:name w:val="HTML 预设格式 Char2"/>
    <w:link w:val="25"/>
    <w:qFormat/>
    <w:uiPriority w:val="0"/>
    <w:rPr>
      <w:rFonts w:ascii="Courier New" w:hAnsi="Courier New"/>
    </w:rPr>
  </w:style>
  <w:style w:type="character" w:customStyle="1" w:styleId="56">
    <w:name w:val="标题 Char"/>
    <w:link w:val="27"/>
    <w:qFormat/>
    <w:uiPriority w:val="10"/>
    <w:rPr>
      <w:rFonts w:ascii="Cambria" w:hAnsi="Cambria" w:eastAsia="宋体" w:cs="Times New Roman"/>
      <w:b/>
      <w:bCs/>
      <w:sz w:val="32"/>
      <w:szCs w:val="32"/>
    </w:rPr>
  </w:style>
  <w:style w:type="character" w:customStyle="1" w:styleId="57">
    <w:name w:val="批注主题 Char"/>
    <w:link w:val="28"/>
    <w:semiHidden/>
    <w:qFormat/>
    <w:uiPriority w:val="99"/>
    <w:rPr>
      <w:b/>
      <w:bCs/>
    </w:rPr>
  </w:style>
  <w:style w:type="character" w:customStyle="1" w:styleId="58">
    <w:name w:val="正文文本缩进 Char"/>
    <w:qFormat/>
    <w:uiPriority w:val="0"/>
    <w:rPr>
      <w:kern w:val="2"/>
      <w:sz w:val="21"/>
      <w:szCs w:val="22"/>
    </w:rPr>
  </w:style>
  <w:style w:type="character" w:customStyle="1" w:styleId="59">
    <w:name w:val="HTML 预设格式 Char"/>
    <w:qFormat/>
    <w:uiPriority w:val="0"/>
    <w:rPr>
      <w:rFonts w:ascii="Courier New" w:hAnsi="Courier New"/>
    </w:rPr>
  </w:style>
  <w:style w:type="character" w:customStyle="1" w:styleId="60">
    <w:name w:val="无间隔 Char"/>
    <w:link w:val="61"/>
    <w:qFormat/>
    <w:uiPriority w:val="1"/>
    <w:rPr>
      <w:kern w:val="2"/>
      <w:sz w:val="21"/>
      <w:szCs w:val="24"/>
      <w:lang w:val="en-US" w:eastAsia="zh-CN" w:bidi="ar-SA"/>
    </w:rPr>
  </w:style>
  <w:style w:type="paragraph" w:customStyle="1" w:styleId="61">
    <w:name w:val="无间隔1"/>
    <w:link w:val="6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页脚 Char"/>
    <w:qFormat/>
    <w:uiPriority w:val="99"/>
    <w:rPr>
      <w:sz w:val="18"/>
      <w:szCs w:val="18"/>
    </w:rPr>
  </w:style>
  <w:style w:type="character" w:customStyle="1" w:styleId="63">
    <w:name w:val="p0 Char"/>
    <w:link w:val="64"/>
    <w:qFormat/>
    <w:uiPriority w:val="0"/>
    <w:rPr>
      <w:sz w:val="21"/>
      <w:szCs w:val="21"/>
    </w:rPr>
  </w:style>
  <w:style w:type="paragraph" w:customStyle="1" w:styleId="64">
    <w:name w:val="p0"/>
    <w:basedOn w:val="1"/>
    <w:link w:val="63"/>
    <w:qFormat/>
    <w:uiPriority w:val="0"/>
    <w:pPr>
      <w:widowControl/>
    </w:pPr>
    <w:rPr>
      <w:kern w:val="0"/>
      <w:szCs w:val="21"/>
    </w:rPr>
  </w:style>
  <w:style w:type="character" w:customStyle="1" w:styleId="65">
    <w:name w:val="文档结构图 Char1"/>
    <w:qFormat/>
    <w:uiPriority w:val="0"/>
    <w:rPr>
      <w:rFonts w:ascii="宋体"/>
      <w:kern w:val="2"/>
      <w:sz w:val="18"/>
      <w:szCs w:val="18"/>
    </w:rPr>
  </w:style>
  <w:style w:type="character" w:customStyle="1" w:styleId="66">
    <w:name w:val="font11"/>
    <w:qFormat/>
    <w:uiPriority w:val="0"/>
    <w:rPr>
      <w:rFonts w:hint="eastAsia" w:ascii="黑体" w:hAnsi="宋体" w:eastAsia="黑体" w:cs="黑体"/>
      <w:color w:val="FF0000"/>
      <w:sz w:val="18"/>
      <w:szCs w:val="18"/>
      <w:u w:val="none"/>
    </w:rPr>
  </w:style>
  <w:style w:type="character" w:customStyle="1" w:styleId="67">
    <w:name w:val="列出段落 Char"/>
    <w:link w:val="68"/>
    <w:qFormat/>
    <w:locked/>
    <w:uiPriority w:val="0"/>
    <w:rPr>
      <w:rFonts w:eastAsia="仿宋"/>
      <w:sz w:val="28"/>
    </w:rPr>
  </w:style>
  <w:style w:type="paragraph" w:customStyle="1" w:styleId="68">
    <w:name w:val="列出段落1"/>
    <w:basedOn w:val="1"/>
    <w:link w:val="67"/>
    <w:qFormat/>
    <w:uiPriority w:val="0"/>
    <w:pPr>
      <w:adjustRightInd w:val="0"/>
      <w:spacing w:line="360" w:lineRule="auto"/>
      <w:ind w:firstLine="420" w:firstLineChars="200"/>
      <w:textAlignment w:val="baseline"/>
    </w:pPr>
    <w:rPr>
      <w:rFonts w:eastAsia="仿宋"/>
      <w:kern w:val="0"/>
      <w:sz w:val="28"/>
      <w:szCs w:val="20"/>
    </w:rPr>
  </w:style>
  <w:style w:type="character" w:customStyle="1" w:styleId="69">
    <w:name w:val="font21"/>
    <w:qFormat/>
    <w:uiPriority w:val="0"/>
    <w:rPr>
      <w:rFonts w:hint="eastAsia" w:ascii="黑体" w:hAnsi="宋体" w:eastAsia="黑体" w:cs="黑体"/>
      <w:color w:val="000000"/>
      <w:sz w:val="18"/>
      <w:szCs w:val="18"/>
      <w:u w:val="none"/>
    </w:rPr>
  </w:style>
  <w:style w:type="character" w:customStyle="1" w:styleId="70">
    <w:name w:val="HTML 预设格式 Char1"/>
    <w:semiHidden/>
    <w:qFormat/>
    <w:uiPriority w:val="99"/>
    <w:rPr>
      <w:rFonts w:ascii="Courier New" w:hAnsi="Courier New" w:cs="Courier New"/>
      <w:kern w:val="2"/>
    </w:rPr>
  </w:style>
  <w:style w:type="character" w:customStyle="1" w:styleId="71">
    <w:name w:val="flName Char"/>
    <w:link w:val="72"/>
    <w:qFormat/>
    <w:uiPriority w:val="0"/>
    <w:rPr>
      <w:rFonts w:ascii="Arial" w:eastAsia="黑体"/>
      <w:sz w:val="32"/>
    </w:rPr>
  </w:style>
  <w:style w:type="paragraph" w:customStyle="1" w:styleId="72">
    <w:name w:val="flName"/>
    <w:basedOn w:val="1"/>
    <w:link w:val="71"/>
    <w:qFormat/>
    <w:uiPriority w:val="0"/>
    <w:pPr>
      <w:adjustRightInd w:val="0"/>
      <w:spacing w:before="320" w:after="160" w:line="360" w:lineRule="atLeast"/>
      <w:jc w:val="center"/>
      <w:textAlignment w:val="baseline"/>
    </w:pPr>
    <w:rPr>
      <w:rFonts w:ascii="Arial" w:eastAsia="黑体"/>
      <w:kern w:val="0"/>
      <w:sz w:val="32"/>
      <w:szCs w:val="20"/>
    </w:rPr>
  </w:style>
  <w:style w:type="character" w:customStyle="1" w:styleId="73">
    <w:name w:val="纯文本 Char"/>
    <w:qFormat/>
    <w:uiPriority w:val="0"/>
    <w:rPr>
      <w:rFonts w:ascii="宋体" w:hAnsi="Courier New" w:eastAsia="宋体" w:cs="Times New Roman"/>
      <w:szCs w:val="20"/>
    </w:rPr>
  </w:style>
  <w:style w:type="paragraph" w:customStyle="1" w:styleId="74">
    <w:name w:val="Table Paragraph"/>
    <w:basedOn w:val="1"/>
    <w:qFormat/>
    <w:uiPriority w:val="1"/>
    <w:rPr>
      <w:rFonts w:ascii="宋体" w:hAnsi="宋体" w:cs="宋体"/>
    </w:rPr>
  </w:style>
  <w:style w:type="paragraph" w:customStyle="1" w:styleId="75">
    <w:name w:val="_Style 73"/>
    <w:unhideWhenUsed/>
    <w:qFormat/>
    <w:uiPriority w:val="99"/>
    <w:rPr>
      <w:rFonts w:ascii="Times New Roman" w:hAnsi="Times New Roman" w:eastAsia="宋体" w:cs="Times New Roman"/>
      <w:kern w:val="2"/>
      <w:sz w:val="21"/>
      <w:szCs w:val="22"/>
      <w:lang w:val="en-US" w:eastAsia="zh-CN" w:bidi="ar-SA"/>
    </w:rPr>
  </w:style>
  <w:style w:type="paragraph" w:customStyle="1" w:styleId="76">
    <w:name w:val="TOC 标题1"/>
    <w:basedOn w:val="4"/>
    <w:next w:val="1"/>
    <w:unhideWhenUsed/>
    <w:qFormat/>
    <w:uiPriority w:val="39"/>
    <w:pPr>
      <w:keepLines/>
      <w:widowControl/>
      <w:spacing w:before="480" w:line="276" w:lineRule="auto"/>
      <w:jc w:val="left"/>
      <w:outlineLvl w:val="9"/>
    </w:pPr>
    <w:rPr>
      <w:rFonts w:ascii="Cambria" w:hAnsi="Cambria" w:eastAsia="宋体"/>
      <w:b/>
      <w:bCs/>
      <w:color w:val="2E74B5"/>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标题1"/>
    <w:basedOn w:val="1"/>
    <w:next w:val="1"/>
    <w:qFormat/>
    <w:uiPriority w:val="0"/>
    <w:pPr>
      <w:tabs>
        <w:tab w:val="left" w:pos="9193"/>
        <w:tab w:val="left" w:pos="9827"/>
      </w:tabs>
      <w:spacing w:line="700" w:lineRule="atLeast"/>
      <w:jc w:val="center"/>
    </w:pPr>
    <w:rPr>
      <w:rFonts w:eastAsia="方正小标宋_GBK"/>
      <w:sz w:val="44"/>
      <w:szCs w:val="24"/>
    </w:rPr>
  </w:style>
  <w:style w:type="paragraph" w:customStyle="1" w:styleId="7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80">
    <w:name w:val="正文1"/>
    <w:basedOn w:val="1"/>
    <w:qFormat/>
    <w:uiPriority w:val="0"/>
    <w:pPr>
      <w:spacing w:line="360" w:lineRule="auto"/>
      <w:ind w:firstLine="361"/>
    </w:pPr>
    <w:rPr>
      <w:rFonts w:ascii="宋体" w:hAnsi="宋体"/>
      <w:szCs w:val="24"/>
    </w:rPr>
  </w:style>
  <w:style w:type="paragraph" w:customStyle="1" w:styleId="81">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从CC出差"/>
    <w:basedOn w:val="1"/>
    <w:qFormat/>
    <w:uiPriority w:val="0"/>
    <w:rPr>
      <w:rFonts w:ascii="宋体" w:hAnsi="宋体"/>
      <w:b/>
      <w:sz w:val="24"/>
      <w:szCs w:val="24"/>
    </w:rPr>
  </w:style>
  <w:style w:type="paragraph" w:customStyle="1" w:styleId="83">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84">
    <w:name w:val="_Style 26"/>
    <w:basedOn w:val="1"/>
    <w:next w:val="85"/>
    <w:qFormat/>
    <w:uiPriority w:val="34"/>
    <w:pPr>
      <w:ind w:firstLine="420" w:firstLineChars="200"/>
    </w:pPr>
    <w:rPr>
      <w:szCs w:val="24"/>
    </w:rPr>
  </w:style>
  <w:style w:type="paragraph" w:styleId="85">
    <w:name w:val="List Paragraph"/>
    <w:basedOn w:val="1"/>
    <w:qFormat/>
    <w:uiPriority w:val="34"/>
    <w:pPr>
      <w:ind w:firstLine="420" w:firstLineChars="200"/>
    </w:pPr>
    <w:rPr>
      <w:rFonts w:ascii="Calibri" w:hAnsi="Calibri"/>
    </w:rPr>
  </w:style>
  <w:style w:type="paragraph" w:customStyle="1" w:styleId="86">
    <w:name w:val="纯文本1"/>
    <w:basedOn w:val="1"/>
    <w:qFormat/>
    <w:uiPriority w:val="0"/>
    <w:rPr>
      <w:rFonts w:ascii="宋体" w:hAnsi="Courier New"/>
      <w:sz w:val="28"/>
      <w:szCs w:val="24"/>
    </w:rPr>
  </w:style>
  <w:style w:type="paragraph" w:customStyle="1" w:styleId="8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88">
    <w:name w:val="No Spacing"/>
    <w:qFormat/>
    <w:uiPriority w:val="1"/>
    <w:rPr>
      <w:rFonts w:ascii="Times New Roman" w:hAnsi="Times New Roman" w:eastAsia="宋体" w:cs="Times New Roman"/>
      <w:sz w:val="22"/>
      <w:lang w:val="en-US" w:eastAsia="zh-CN" w:bidi="ar-SA"/>
    </w:rPr>
  </w:style>
  <w:style w:type="paragraph" w:customStyle="1" w:styleId="89">
    <w:name w:val="Char"/>
    <w:basedOn w:val="1"/>
    <w:qFormat/>
    <w:uiPriority w:val="0"/>
    <w:pPr>
      <w:tabs>
        <w:tab w:val="left" w:pos="360"/>
      </w:tabs>
    </w:pPr>
    <w:rPr>
      <w:sz w:val="24"/>
      <w:szCs w:val="24"/>
    </w:rPr>
  </w:style>
  <w:style w:type="paragraph" w:customStyle="1" w:styleId="90">
    <w:name w:val="注"/>
    <w:basedOn w:val="1"/>
    <w:qFormat/>
    <w:uiPriority w:val="0"/>
    <w:pPr>
      <w:adjustRightInd w:val="0"/>
      <w:spacing w:line="360" w:lineRule="atLeast"/>
      <w:ind w:left="840" w:hanging="420"/>
      <w:textAlignment w:val="baseline"/>
    </w:pPr>
    <w:rPr>
      <w:kern w:val="0"/>
      <w:szCs w:val="20"/>
    </w:rPr>
  </w:style>
  <w:style w:type="table" w:customStyle="1" w:styleId="91">
    <w:name w:val="Table Normal"/>
    <w:unhideWhenUsed/>
    <w:qFormat/>
    <w:uiPriority w:val="2"/>
    <w:tblPr>
      <w:tblCellMar>
        <w:top w:w="0" w:type="dxa"/>
        <w:left w:w="0" w:type="dxa"/>
        <w:bottom w:w="0" w:type="dxa"/>
        <w:right w:w="0" w:type="dxa"/>
      </w:tblCellMar>
    </w:tblPr>
  </w:style>
  <w:style w:type="table" w:customStyle="1" w:styleId="92">
    <w:name w:val="网格型8"/>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13926</Words>
  <Characters>15182</Characters>
  <Lines>119</Lines>
  <Paragraphs>33</Paragraphs>
  <TotalTime>1</TotalTime>
  <ScaleCrop>false</ScaleCrop>
  <LinksUpToDate>false</LinksUpToDate>
  <CharactersWithSpaces>16089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2022-06-29T05:48:00Z</dcterms:created>
  <dc:creator>zong tony</dc:creator>
  <cp:lastModifiedBy>高吴军</cp:lastModifiedBy>
  <cp:lastPrinted>2022-06-23T06:20:00Z</cp:lastPrinted>
  <dcterms:modified xsi:type="dcterms:W3CDTF">2022-07-02T06:24:16Z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C978E13D8450432DA15A884486DDC2DD</vt:lpwstr>
  </property>
</Properties>
</file>