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06F0E8">
      <w:pPr>
        <w:jc w:val="center"/>
        <w:rPr>
          <w:rFonts w:hint="eastAsia" w:ascii="宋体" w:hAnsi="宋体" w:eastAsia="宋体" w:cs="宋体"/>
          <w:b/>
          <w:color w:val="auto"/>
          <w:spacing w:val="20"/>
          <w:sz w:val="52"/>
          <w:szCs w:val="52"/>
          <w:highlight w:val="none"/>
          <w:lang w:eastAsia="zh-CN"/>
        </w:rPr>
      </w:pPr>
      <w:r>
        <w:rPr>
          <w:rFonts w:hint="eastAsia" w:ascii="宋体" w:hAnsi="宋体" w:eastAsia="宋体" w:cs="宋体"/>
          <w:b/>
          <w:color w:val="auto"/>
          <w:spacing w:val="20"/>
          <w:sz w:val="52"/>
          <w:szCs w:val="52"/>
          <w:highlight w:val="none"/>
          <w:lang w:eastAsia="zh-CN"/>
        </w:rPr>
        <w:t>江苏航运职业技术学院</w:t>
      </w:r>
    </w:p>
    <w:p w14:paraId="64A72864">
      <w:pPr>
        <w:jc w:val="center"/>
        <w:rPr>
          <w:rFonts w:hint="eastAsia" w:ascii="宋体" w:hAnsi="宋体" w:eastAsia="宋体" w:cs="宋体"/>
          <w:bCs/>
          <w:color w:val="auto"/>
          <w:sz w:val="52"/>
          <w:szCs w:val="52"/>
          <w:highlight w:val="none"/>
          <w:lang w:eastAsia="zh-CN"/>
        </w:rPr>
      </w:pPr>
      <w:r>
        <w:rPr>
          <w:rFonts w:hint="eastAsia" w:ascii="宋体" w:hAnsi="宋体" w:eastAsia="宋体" w:cs="宋体"/>
          <w:b/>
          <w:color w:val="auto"/>
          <w:spacing w:val="20"/>
          <w:sz w:val="52"/>
          <w:szCs w:val="52"/>
          <w:highlight w:val="none"/>
          <w:lang w:eastAsia="zh-CN"/>
        </w:rPr>
        <w:t>消</w:t>
      </w:r>
      <w:bookmarkStart w:id="107" w:name="_GoBack"/>
      <w:bookmarkEnd w:id="107"/>
      <w:r>
        <w:rPr>
          <w:rFonts w:hint="eastAsia" w:ascii="宋体" w:hAnsi="宋体" w:eastAsia="宋体" w:cs="宋体"/>
          <w:b/>
          <w:color w:val="auto"/>
          <w:spacing w:val="20"/>
          <w:sz w:val="52"/>
          <w:szCs w:val="52"/>
          <w:highlight w:val="none"/>
          <w:lang w:eastAsia="zh-CN"/>
        </w:rPr>
        <w:t>防维保项目</w:t>
      </w:r>
    </w:p>
    <w:p w14:paraId="4C742C6F">
      <w:pPr>
        <w:jc w:val="center"/>
        <w:rPr>
          <w:rFonts w:hint="eastAsia" w:ascii="宋体" w:hAnsi="宋体" w:eastAsia="宋体" w:cs="宋体"/>
          <w:bCs/>
          <w:color w:val="auto"/>
          <w:sz w:val="100"/>
          <w:szCs w:val="100"/>
          <w:highlight w:val="none"/>
        </w:rPr>
      </w:pPr>
    </w:p>
    <w:p w14:paraId="2BEA8A31">
      <w:pPr>
        <w:jc w:val="center"/>
        <w:rPr>
          <w:rFonts w:hint="eastAsia" w:ascii="宋体" w:hAnsi="宋体" w:eastAsia="宋体" w:cs="宋体"/>
          <w:bCs/>
          <w:color w:val="auto"/>
          <w:sz w:val="100"/>
          <w:szCs w:val="100"/>
          <w:highlight w:val="none"/>
        </w:rPr>
      </w:pPr>
      <w:r>
        <w:rPr>
          <w:rFonts w:hint="eastAsia" w:ascii="宋体" w:hAnsi="宋体" w:eastAsia="宋体" w:cs="宋体"/>
          <w:bCs/>
          <w:color w:val="auto"/>
          <w:sz w:val="100"/>
          <w:szCs w:val="100"/>
          <w:highlight w:val="none"/>
        </w:rPr>
        <w:t>招标文件</w:t>
      </w:r>
    </w:p>
    <w:p w14:paraId="29B32348">
      <w:pPr>
        <w:pStyle w:val="7"/>
        <w:spacing w:line="500" w:lineRule="exact"/>
        <w:rPr>
          <w:rFonts w:hint="eastAsia" w:ascii="宋体" w:hAnsi="宋体" w:eastAsia="宋体" w:cs="宋体"/>
          <w:b w:val="0"/>
          <w:bCs/>
          <w:color w:val="auto"/>
          <w:highlight w:val="none"/>
        </w:rPr>
      </w:pPr>
    </w:p>
    <w:p w14:paraId="609369C7">
      <w:pPr>
        <w:pStyle w:val="7"/>
        <w:spacing w:line="500" w:lineRule="exact"/>
        <w:rPr>
          <w:rFonts w:hint="eastAsia" w:ascii="宋体" w:hAnsi="宋体" w:eastAsia="宋体" w:cs="宋体"/>
          <w:b w:val="0"/>
          <w:bCs/>
          <w:color w:val="auto"/>
          <w:sz w:val="36"/>
          <w:szCs w:val="36"/>
          <w:highlight w:val="none"/>
        </w:rPr>
      </w:pPr>
      <w:r>
        <w:rPr>
          <w:rFonts w:hint="eastAsia" w:ascii="宋体" w:hAnsi="宋体" w:cs="宋体"/>
          <w:bCs/>
          <w:color w:val="auto"/>
          <w:sz w:val="36"/>
          <w:szCs w:val="36"/>
          <w:highlight w:val="none"/>
          <w:lang w:eastAsia="zh-CN"/>
        </w:rPr>
        <w:t>招标文件</w:t>
      </w:r>
      <w:r>
        <w:rPr>
          <w:rFonts w:hint="eastAsia" w:ascii="宋体" w:hAnsi="宋体" w:eastAsia="宋体" w:cs="宋体"/>
          <w:bCs/>
          <w:color w:val="auto"/>
          <w:sz w:val="36"/>
          <w:szCs w:val="36"/>
          <w:highlight w:val="none"/>
        </w:rPr>
        <w:t>编号：ZRNT20240079</w:t>
      </w:r>
    </w:p>
    <w:p w14:paraId="712BA696">
      <w:pPr>
        <w:spacing w:line="500" w:lineRule="exact"/>
        <w:ind w:firstLine="420"/>
        <w:jc w:val="center"/>
        <w:rPr>
          <w:rFonts w:hint="eastAsia" w:ascii="宋体" w:hAnsi="宋体" w:eastAsia="宋体" w:cs="宋体"/>
          <w:b/>
          <w:color w:val="auto"/>
          <w:sz w:val="36"/>
          <w:highlight w:val="none"/>
        </w:rPr>
      </w:pPr>
    </w:p>
    <w:p w14:paraId="3A47076E">
      <w:pPr>
        <w:spacing w:line="500" w:lineRule="exact"/>
        <w:jc w:val="center"/>
        <w:rPr>
          <w:rFonts w:hint="eastAsia" w:ascii="宋体" w:hAnsi="宋体" w:eastAsia="宋体" w:cs="宋体"/>
          <w:b/>
          <w:color w:val="auto"/>
          <w:sz w:val="36"/>
          <w:highlight w:val="none"/>
        </w:rPr>
      </w:pPr>
    </w:p>
    <w:p w14:paraId="7876AAF6">
      <w:pPr>
        <w:spacing w:line="500" w:lineRule="exact"/>
        <w:jc w:val="center"/>
        <w:rPr>
          <w:rFonts w:hint="eastAsia" w:ascii="宋体" w:hAnsi="宋体" w:eastAsia="宋体" w:cs="宋体"/>
          <w:b/>
          <w:color w:val="auto"/>
          <w:sz w:val="36"/>
          <w:highlight w:val="none"/>
        </w:rPr>
      </w:pPr>
    </w:p>
    <w:p w14:paraId="6BC7E776">
      <w:pPr>
        <w:spacing w:line="500" w:lineRule="exact"/>
        <w:jc w:val="center"/>
        <w:rPr>
          <w:rFonts w:hint="eastAsia" w:ascii="宋体" w:hAnsi="宋体" w:eastAsia="宋体" w:cs="宋体"/>
          <w:color w:val="auto"/>
          <w:sz w:val="32"/>
          <w:highlight w:val="none"/>
        </w:rPr>
      </w:pPr>
      <w:r>
        <w:rPr>
          <w:rFonts w:hint="eastAsia" w:ascii="宋体" w:hAnsi="宋体" w:eastAsia="宋体" w:cs="宋体"/>
          <w:color w:val="auto"/>
          <w:highlight w:val="none"/>
        </w:rPr>
        <w:t>、</w:t>
      </w:r>
    </w:p>
    <w:p w14:paraId="0F842EEC">
      <w:pPr>
        <w:rPr>
          <w:rFonts w:hint="eastAsia" w:ascii="宋体" w:hAnsi="宋体" w:eastAsia="宋体" w:cs="宋体"/>
          <w:color w:val="auto"/>
          <w:sz w:val="32"/>
          <w:highlight w:val="none"/>
        </w:rPr>
      </w:pPr>
    </w:p>
    <w:p w14:paraId="191FB8FB">
      <w:pPr>
        <w:pStyle w:val="21"/>
        <w:rPr>
          <w:rFonts w:hint="eastAsia" w:ascii="宋体" w:hAnsi="宋体" w:eastAsia="宋体" w:cs="宋体"/>
          <w:color w:val="auto"/>
          <w:highlight w:val="none"/>
        </w:rPr>
      </w:pPr>
    </w:p>
    <w:p w14:paraId="5AE35999">
      <w:pPr>
        <w:pStyle w:val="71"/>
        <w:rPr>
          <w:rFonts w:hint="eastAsia" w:ascii="宋体" w:hAnsi="宋体" w:eastAsia="宋体" w:cs="宋体"/>
          <w:color w:val="auto"/>
          <w:sz w:val="32"/>
          <w:highlight w:val="none"/>
        </w:rPr>
      </w:pPr>
    </w:p>
    <w:p w14:paraId="72ECF3DC">
      <w:pPr>
        <w:pStyle w:val="71"/>
        <w:rPr>
          <w:rFonts w:hint="eastAsia" w:ascii="宋体" w:hAnsi="宋体" w:eastAsia="宋体" w:cs="宋体"/>
          <w:color w:val="auto"/>
          <w:sz w:val="32"/>
          <w:highlight w:val="none"/>
        </w:rPr>
      </w:pPr>
    </w:p>
    <w:p w14:paraId="0E7CE385">
      <w:pPr>
        <w:spacing w:line="500" w:lineRule="exact"/>
        <w:jc w:val="center"/>
        <w:rPr>
          <w:rFonts w:hint="eastAsia" w:ascii="宋体" w:hAnsi="宋体" w:eastAsia="宋体" w:cs="宋体"/>
          <w:color w:val="auto"/>
          <w:sz w:val="32"/>
          <w:highlight w:val="none"/>
        </w:rPr>
      </w:pPr>
    </w:p>
    <w:p w14:paraId="1EF528D7">
      <w:pPr>
        <w:adjustRightInd w:val="0"/>
        <w:spacing w:before="120" w:after="120" w:line="500" w:lineRule="exact"/>
        <w:ind w:right="120"/>
        <w:jc w:val="center"/>
        <w:textAlignment w:val="baseline"/>
        <w:rPr>
          <w:rFonts w:hint="eastAsia" w:ascii="宋体" w:hAnsi="宋体" w:eastAsia="宋体" w:cs="宋体"/>
          <w:b/>
          <w:bCs/>
          <w:color w:val="auto"/>
          <w:sz w:val="32"/>
          <w:highlight w:val="none"/>
        </w:rPr>
      </w:pPr>
    </w:p>
    <w:p w14:paraId="50CEFEC0">
      <w:pPr>
        <w:adjustRightInd w:val="0"/>
        <w:spacing w:before="120" w:after="120" w:line="500" w:lineRule="exact"/>
        <w:ind w:right="120"/>
        <w:jc w:val="center"/>
        <w:textAlignment w:val="baseline"/>
        <w:rPr>
          <w:rFonts w:hint="eastAsia" w:ascii="宋体" w:hAnsi="宋体" w:eastAsia="宋体" w:cs="宋体"/>
          <w:b/>
          <w:bCs/>
          <w:color w:val="auto"/>
          <w:sz w:val="32"/>
          <w:highlight w:val="none"/>
        </w:rPr>
      </w:pPr>
      <w:r>
        <w:rPr>
          <w:rFonts w:hint="eastAsia" w:ascii="宋体" w:hAnsi="宋体" w:cs="宋体"/>
          <w:b/>
          <w:bCs/>
          <w:color w:val="auto"/>
          <w:sz w:val="32"/>
          <w:highlight w:val="none"/>
          <w:lang w:eastAsia="zh-CN"/>
        </w:rPr>
        <w:t>招标人</w:t>
      </w:r>
      <w:r>
        <w:rPr>
          <w:rFonts w:hint="eastAsia" w:ascii="宋体" w:hAnsi="宋体" w:eastAsia="宋体" w:cs="宋体"/>
          <w:b/>
          <w:bCs/>
          <w:color w:val="auto"/>
          <w:sz w:val="32"/>
          <w:highlight w:val="none"/>
        </w:rPr>
        <w:t>：江苏航运职业技术学院</w:t>
      </w:r>
    </w:p>
    <w:p w14:paraId="04CBD032">
      <w:pPr>
        <w:adjustRightInd w:val="0"/>
        <w:spacing w:before="120" w:after="120" w:line="500" w:lineRule="exact"/>
        <w:ind w:right="120"/>
        <w:jc w:val="center"/>
        <w:textAlignment w:val="baseline"/>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采购代理机构：江苏中润工程建设咨询有限公司</w:t>
      </w:r>
    </w:p>
    <w:p w14:paraId="1BED7F1F">
      <w:pPr>
        <w:adjustRightInd w:val="0"/>
        <w:spacing w:before="120" w:after="120" w:line="500" w:lineRule="exact"/>
        <w:ind w:right="120"/>
        <w:jc w:val="center"/>
        <w:textAlignment w:val="baseline"/>
        <w:rPr>
          <w:rFonts w:hint="eastAsia" w:ascii="宋体" w:hAnsi="宋体" w:eastAsia="宋体" w:cs="宋体"/>
          <w:b/>
          <w:bCs/>
          <w:color w:val="auto"/>
          <w:sz w:val="32"/>
          <w:highlight w:val="none"/>
        </w:rPr>
      </w:pPr>
      <w:r>
        <w:rPr>
          <w:rFonts w:hint="eastAsia" w:ascii="宋体" w:hAnsi="宋体" w:eastAsia="宋体" w:cs="宋体"/>
          <w:b/>
          <w:bCs/>
          <w:color w:val="auto"/>
          <w:sz w:val="32"/>
          <w:highlight w:val="none"/>
        </w:rPr>
        <w:t>2024年0</w:t>
      </w:r>
      <w:r>
        <w:rPr>
          <w:rFonts w:hint="eastAsia" w:ascii="宋体" w:hAnsi="宋体" w:cs="宋体"/>
          <w:b/>
          <w:bCs/>
          <w:color w:val="auto"/>
          <w:sz w:val="32"/>
          <w:highlight w:val="none"/>
          <w:lang w:val="en-US" w:eastAsia="zh-CN"/>
        </w:rPr>
        <w:t>8</w:t>
      </w:r>
      <w:r>
        <w:rPr>
          <w:rFonts w:hint="eastAsia" w:ascii="宋体" w:hAnsi="宋体" w:eastAsia="宋体" w:cs="宋体"/>
          <w:b/>
          <w:bCs/>
          <w:color w:val="auto"/>
          <w:sz w:val="32"/>
          <w:highlight w:val="none"/>
        </w:rPr>
        <w:t>月</w:t>
      </w:r>
    </w:p>
    <w:p w14:paraId="0D33EFF3">
      <w:pPr>
        <w:adjustRightInd w:val="0"/>
        <w:snapToGrid w:val="0"/>
        <w:ind w:left="-158" w:leftChars="-75"/>
        <w:jc w:val="center"/>
        <w:rPr>
          <w:rFonts w:hint="eastAsia" w:ascii="宋体" w:hAnsi="宋体" w:eastAsia="宋体" w:cs="宋体"/>
          <w:b/>
          <w:bCs/>
          <w:color w:val="auto"/>
          <w:sz w:val="44"/>
          <w:szCs w:val="44"/>
          <w:highlight w:val="none"/>
        </w:rPr>
      </w:pPr>
    </w:p>
    <w:p w14:paraId="307EECF0">
      <w:pPr>
        <w:adjustRightInd w:val="0"/>
        <w:snapToGrid w:val="0"/>
        <w:ind w:left="-158" w:leftChars="-75"/>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目 录</w:t>
      </w:r>
    </w:p>
    <w:p w14:paraId="688CADAE">
      <w:pPr>
        <w:tabs>
          <w:tab w:val="left" w:pos="7740"/>
        </w:tabs>
        <w:adjustRightInd w:val="0"/>
        <w:snapToGrid w:val="0"/>
        <w:spacing w:line="1000" w:lineRule="exact"/>
        <w:ind w:firstLine="640" w:firstLineChars="200"/>
        <w:rPr>
          <w:rFonts w:hint="eastAsia" w:ascii="宋体" w:hAnsi="宋体" w:eastAsia="宋体" w:cs="宋体"/>
          <w:bCs/>
          <w:color w:val="auto"/>
          <w:sz w:val="32"/>
          <w:szCs w:val="32"/>
          <w:highlight w:val="none"/>
        </w:rPr>
      </w:pPr>
    </w:p>
    <w:p w14:paraId="1D1F0893">
      <w:pPr>
        <w:tabs>
          <w:tab w:val="left" w:pos="7740"/>
        </w:tabs>
        <w:adjustRightInd w:val="0"/>
        <w:snapToGrid w:val="0"/>
        <w:spacing w:line="1000" w:lineRule="exact"/>
        <w:ind w:firstLine="640" w:firstLineChars="20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第一部分  投标邀请</w:t>
      </w:r>
    </w:p>
    <w:p w14:paraId="797EF3AC">
      <w:pPr>
        <w:tabs>
          <w:tab w:val="left" w:pos="7740"/>
        </w:tabs>
        <w:adjustRightInd w:val="0"/>
        <w:snapToGrid w:val="0"/>
        <w:spacing w:line="1000" w:lineRule="exact"/>
        <w:ind w:firstLine="640" w:firstLineChars="20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第二部分  投标须知</w:t>
      </w:r>
    </w:p>
    <w:p w14:paraId="3964443E">
      <w:pPr>
        <w:tabs>
          <w:tab w:val="left" w:pos="7740"/>
        </w:tabs>
        <w:adjustRightInd w:val="0"/>
        <w:snapToGrid w:val="0"/>
        <w:spacing w:line="1000" w:lineRule="exact"/>
        <w:ind w:firstLine="640" w:firstLineChars="20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第三部分  项目需求</w:t>
      </w:r>
    </w:p>
    <w:p w14:paraId="5FF54A5A">
      <w:pPr>
        <w:tabs>
          <w:tab w:val="left" w:pos="7740"/>
        </w:tabs>
        <w:adjustRightInd w:val="0"/>
        <w:snapToGrid w:val="0"/>
        <w:spacing w:line="1000" w:lineRule="exact"/>
        <w:ind w:firstLine="640" w:firstLineChars="200"/>
        <w:rPr>
          <w:rFonts w:hint="eastAsia" w:ascii="宋体" w:hAnsi="宋体" w:eastAsia="宋体" w:cs="宋体"/>
          <w:color w:val="auto"/>
          <w:spacing w:val="2"/>
          <w:sz w:val="32"/>
          <w:szCs w:val="32"/>
          <w:highlight w:val="none"/>
        </w:rPr>
      </w:pPr>
      <w:r>
        <w:rPr>
          <w:rFonts w:hint="eastAsia" w:ascii="宋体" w:hAnsi="宋体" w:eastAsia="宋体" w:cs="宋体"/>
          <w:color w:val="auto"/>
          <w:sz w:val="32"/>
          <w:szCs w:val="32"/>
          <w:highlight w:val="none"/>
        </w:rPr>
        <w:t xml:space="preserve">第四部分  </w:t>
      </w:r>
      <w:r>
        <w:rPr>
          <w:rFonts w:hint="eastAsia" w:ascii="宋体" w:hAnsi="宋体" w:eastAsia="宋体" w:cs="宋体"/>
          <w:bCs/>
          <w:color w:val="auto"/>
          <w:sz w:val="32"/>
          <w:szCs w:val="32"/>
          <w:highlight w:val="none"/>
        </w:rPr>
        <w:t>开标和评标</w:t>
      </w:r>
    </w:p>
    <w:p w14:paraId="35368D59">
      <w:pPr>
        <w:tabs>
          <w:tab w:val="left" w:pos="7740"/>
        </w:tabs>
        <w:adjustRightInd w:val="0"/>
        <w:snapToGrid w:val="0"/>
        <w:spacing w:line="1000" w:lineRule="exact"/>
        <w:ind w:firstLine="640" w:firstLineChars="200"/>
        <w:rPr>
          <w:rFonts w:hint="eastAsia" w:ascii="宋体" w:hAnsi="宋体" w:eastAsia="宋体" w:cs="宋体"/>
          <w:color w:val="auto"/>
          <w:spacing w:val="2"/>
          <w:sz w:val="32"/>
          <w:szCs w:val="32"/>
          <w:highlight w:val="none"/>
        </w:rPr>
      </w:pPr>
      <w:r>
        <w:rPr>
          <w:rFonts w:hint="eastAsia" w:ascii="宋体" w:hAnsi="宋体" w:eastAsia="宋体" w:cs="宋体"/>
          <w:bCs/>
          <w:color w:val="auto"/>
          <w:sz w:val="32"/>
          <w:szCs w:val="32"/>
          <w:highlight w:val="none"/>
        </w:rPr>
        <w:t>第五部分  投标文件组成</w:t>
      </w:r>
    </w:p>
    <w:p w14:paraId="224CA989">
      <w:pPr>
        <w:spacing w:line="500" w:lineRule="exact"/>
        <w:rPr>
          <w:rFonts w:hint="eastAsia" w:ascii="宋体" w:hAnsi="宋体" w:eastAsia="宋体" w:cs="宋体"/>
          <w:b/>
          <w:color w:val="auto"/>
          <w:sz w:val="32"/>
          <w:szCs w:val="32"/>
          <w:highlight w:val="none"/>
        </w:rPr>
      </w:pPr>
    </w:p>
    <w:p w14:paraId="2CBE5D16">
      <w:pPr>
        <w:tabs>
          <w:tab w:val="left" w:pos="7740"/>
        </w:tabs>
        <w:spacing w:line="500" w:lineRule="exact"/>
        <w:rPr>
          <w:rFonts w:hint="eastAsia" w:ascii="宋体" w:hAnsi="宋体" w:eastAsia="宋体" w:cs="宋体"/>
          <w:b/>
          <w:color w:val="auto"/>
          <w:spacing w:val="2"/>
          <w:sz w:val="32"/>
          <w:szCs w:val="32"/>
          <w:highlight w:val="none"/>
        </w:rPr>
      </w:pPr>
    </w:p>
    <w:p w14:paraId="0F7A49D0">
      <w:pPr>
        <w:tabs>
          <w:tab w:val="left" w:pos="7740"/>
        </w:tabs>
        <w:spacing w:line="500" w:lineRule="exact"/>
        <w:rPr>
          <w:rFonts w:hint="eastAsia" w:ascii="宋体" w:hAnsi="宋体" w:eastAsia="宋体" w:cs="宋体"/>
          <w:b/>
          <w:color w:val="auto"/>
          <w:spacing w:val="2"/>
          <w:sz w:val="32"/>
          <w:szCs w:val="32"/>
          <w:highlight w:val="none"/>
        </w:rPr>
      </w:pPr>
    </w:p>
    <w:p w14:paraId="2C558672">
      <w:pPr>
        <w:tabs>
          <w:tab w:val="left" w:pos="7740"/>
        </w:tabs>
        <w:spacing w:line="500" w:lineRule="exact"/>
        <w:rPr>
          <w:rFonts w:hint="eastAsia" w:ascii="宋体" w:hAnsi="宋体" w:eastAsia="宋体" w:cs="宋体"/>
          <w:b/>
          <w:bCs/>
          <w:color w:val="auto"/>
          <w:sz w:val="32"/>
          <w:szCs w:val="32"/>
          <w:highlight w:val="none"/>
        </w:rPr>
      </w:pPr>
    </w:p>
    <w:p w14:paraId="202FB190">
      <w:pPr>
        <w:spacing w:line="500" w:lineRule="exact"/>
        <w:outlineLvl w:val="0"/>
        <w:rPr>
          <w:rFonts w:hint="eastAsia" w:ascii="宋体" w:hAnsi="宋体" w:eastAsia="宋体" w:cs="宋体"/>
          <w:b/>
          <w:color w:val="auto"/>
          <w:sz w:val="44"/>
          <w:szCs w:val="44"/>
          <w:highlight w:val="none"/>
        </w:rPr>
      </w:pPr>
    </w:p>
    <w:p w14:paraId="7D2ADDDE">
      <w:pPr>
        <w:spacing w:line="500" w:lineRule="exact"/>
        <w:outlineLvl w:val="0"/>
        <w:rPr>
          <w:rFonts w:hint="eastAsia" w:ascii="宋体" w:hAnsi="宋体" w:eastAsia="宋体" w:cs="宋体"/>
          <w:color w:val="auto"/>
          <w:sz w:val="44"/>
          <w:szCs w:val="44"/>
          <w:highlight w:val="none"/>
        </w:rPr>
      </w:pPr>
    </w:p>
    <w:p w14:paraId="524D0707">
      <w:pPr>
        <w:spacing w:line="500" w:lineRule="exact"/>
        <w:outlineLvl w:val="0"/>
        <w:rPr>
          <w:rFonts w:hint="eastAsia" w:ascii="宋体" w:hAnsi="宋体" w:eastAsia="宋体" w:cs="宋体"/>
          <w:color w:val="auto"/>
          <w:sz w:val="44"/>
          <w:szCs w:val="44"/>
          <w:highlight w:val="none"/>
        </w:rPr>
      </w:pPr>
    </w:p>
    <w:p w14:paraId="17BD828F">
      <w:pPr>
        <w:spacing w:line="500" w:lineRule="exact"/>
        <w:outlineLvl w:val="0"/>
        <w:rPr>
          <w:rFonts w:hint="eastAsia" w:ascii="宋体" w:hAnsi="宋体" w:eastAsia="宋体" w:cs="宋体"/>
          <w:color w:val="auto"/>
          <w:sz w:val="44"/>
          <w:szCs w:val="44"/>
          <w:highlight w:val="none"/>
        </w:rPr>
      </w:pPr>
    </w:p>
    <w:p w14:paraId="49E23A5A">
      <w:pPr>
        <w:spacing w:line="500" w:lineRule="exact"/>
        <w:outlineLvl w:val="0"/>
        <w:rPr>
          <w:rFonts w:hint="eastAsia" w:ascii="宋体" w:hAnsi="宋体" w:eastAsia="宋体" w:cs="宋体"/>
          <w:color w:val="auto"/>
          <w:sz w:val="44"/>
          <w:szCs w:val="44"/>
          <w:highlight w:val="none"/>
        </w:rPr>
      </w:pPr>
    </w:p>
    <w:p w14:paraId="08C1C9A5">
      <w:pPr>
        <w:spacing w:line="500" w:lineRule="exact"/>
        <w:outlineLvl w:val="0"/>
        <w:rPr>
          <w:rFonts w:hint="eastAsia" w:ascii="宋体" w:hAnsi="宋体" w:eastAsia="宋体" w:cs="宋体"/>
          <w:color w:val="auto"/>
          <w:sz w:val="44"/>
          <w:szCs w:val="44"/>
          <w:highlight w:val="none"/>
        </w:rPr>
      </w:pPr>
    </w:p>
    <w:p w14:paraId="71F03513">
      <w:pPr>
        <w:spacing w:line="500" w:lineRule="exact"/>
        <w:outlineLvl w:val="0"/>
        <w:rPr>
          <w:rFonts w:hint="eastAsia" w:ascii="宋体" w:hAnsi="宋体" w:eastAsia="宋体" w:cs="宋体"/>
          <w:color w:val="auto"/>
          <w:sz w:val="44"/>
          <w:szCs w:val="44"/>
          <w:highlight w:val="none"/>
        </w:rPr>
      </w:pPr>
    </w:p>
    <w:p w14:paraId="1C158C07">
      <w:pPr>
        <w:spacing w:line="500" w:lineRule="exact"/>
        <w:outlineLvl w:val="0"/>
        <w:rPr>
          <w:rFonts w:hint="eastAsia" w:ascii="宋体" w:hAnsi="宋体" w:eastAsia="宋体" w:cs="宋体"/>
          <w:color w:val="auto"/>
          <w:sz w:val="44"/>
          <w:szCs w:val="44"/>
          <w:highlight w:val="none"/>
        </w:rPr>
      </w:pPr>
    </w:p>
    <w:p w14:paraId="1C801B47">
      <w:pPr>
        <w:spacing w:line="500" w:lineRule="exact"/>
        <w:outlineLvl w:val="0"/>
        <w:rPr>
          <w:rFonts w:hint="eastAsia" w:ascii="宋体" w:hAnsi="宋体" w:eastAsia="宋体" w:cs="宋体"/>
          <w:color w:val="auto"/>
          <w:sz w:val="44"/>
          <w:szCs w:val="44"/>
          <w:highlight w:val="none"/>
        </w:rPr>
      </w:pPr>
    </w:p>
    <w:p w14:paraId="5239CBBB">
      <w:pPr>
        <w:adjustRightInd w:val="0"/>
        <w:snapToGrid w:val="0"/>
        <w:spacing w:line="800" w:lineRule="exact"/>
        <w:jc w:val="center"/>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6"/>
          <w:szCs w:val="36"/>
          <w:highlight w:val="none"/>
        </w:rPr>
        <w:t xml:space="preserve">第一部分 </w:t>
      </w:r>
      <w:bookmarkStart w:id="0" w:name="OLE_LINK7"/>
      <w:bookmarkStart w:id="1" w:name="OLE_LINK5"/>
      <w:r>
        <w:rPr>
          <w:rFonts w:hint="eastAsia" w:ascii="宋体" w:hAnsi="宋体" w:eastAsia="宋体" w:cs="宋体"/>
          <w:b/>
          <w:color w:val="auto"/>
          <w:sz w:val="36"/>
          <w:szCs w:val="36"/>
          <w:highlight w:val="none"/>
        </w:rPr>
        <w:t>投标邀请</w:t>
      </w:r>
    </w:p>
    <w:p w14:paraId="7DB55F7F">
      <w:pPr>
        <w:adjustRightInd w:val="0"/>
        <w:snapToGrid w:val="0"/>
        <w:spacing w:line="500" w:lineRule="exact"/>
        <w:jc w:val="center"/>
        <w:outlineLvl w:val="0"/>
        <w:rPr>
          <w:rFonts w:hint="eastAsia" w:ascii="宋体" w:hAnsi="宋体" w:eastAsia="宋体" w:cs="宋体"/>
          <w:b/>
          <w:color w:val="auto"/>
          <w:sz w:val="32"/>
          <w:szCs w:val="32"/>
          <w:highlight w:val="none"/>
        </w:rPr>
      </w:pPr>
    </w:p>
    <w:p w14:paraId="17C1CF78">
      <w:pPr>
        <w:pBdr>
          <w:top w:val="single" w:color="auto" w:sz="4" w:space="1"/>
          <w:left w:val="single" w:color="auto" w:sz="4" w:space="4"/>
          <w:bottom w:val="single" w:color="auto" w:sz="4" w:space="1"/>
          <w:right w:val="single" w:color="auto" w:sz="4" w:space="4"/>
        </w:pBdr>
        <w:adjustRightInd w:val="0"/>
        <w:snapToGrid w:val="0"/>
        <w:spacing w:line="460" w:lineRule="exact"/>
        <w:rPr>
          <w:rFonts w:hint="eastAsia" w:ascii="宋体" w:hAnsi="宋体" w:eastAsia="宋体" w:cs="宋体"/>
          <w:color w:val="auto"/>
          <w:sz w:val="28"/>
          <w:szCs w:val="28"/>
          <w:highlight w:val="none"/>
        </w:rPr>
      </w:pPr>
      <w:bookmarkStart w:id="2" w:name="OLE_LINK6"/>
      <w:r>
        <w:rPr>
          <w:rFonts w:hint="eastAsia" w:ascii="宋体" w:hAnsi="宋体" w:eastAsia="宋体" w:cs="宋体"/>
          <w:color w:val="auto"/>
          <w:sz w:val="28"/>
          <w:szCs w:val="28"/>
          <w:highlight w:val="none"/>
        </w:rPr>
        <w:t>项目概况</w:t>
      </w:r>
    </w:p>
    <w:p w14:paraId="7E4E3D48">
      <w:pPr>
        <w:pBdr>
          <w:top w:val="single" w:color="auto" w:sz="4" w:space="1"/>
          <w:left w:val="single" w:color="auto" w:sz="4" w:space="4"/>
          <w:bottom w:val="single" w:color="auto" w:sz="4" w:space="1"/>
          <w:right w:val="single" w:color="auto" w:sz="4" w:space="4"/>
        </w:pBd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eastAsia="zh-CN"/>
        </w:rPr>
        <w:t>江苏航运职业技术学院消防维保项目</w:t>
      </w:r>
      <w:r>
        <w:rPr>
          <w:rFonts w:hint="eastAsia" w:ascii="宋体" w:hAnsi="宋体" w:eastAsia="宋体" w:cs="宋体"/>
          <w:color w:val="auto"/>
          <w:sz w:val="28"/>
          <w:szCs w:val="28"/>
          <w:highlight w:val="none"/>
        </w:rPr>
        <w:t>）的潜在投标人应在江苏航运职业技术学院网站获取招标文件，并于2024年</w:t>
      </w:r>
      <w:r>
        <w:rPr>
          <w:rFonts w:hint="eastAsia" w:ascii="宋体" w:hAnsi="宋体" w:cs="宋体"/>
          <w:color w:val="auto"/>
          <w:sz w:val="28"/>
          <w:szCs w:val="28"/>
          <w:highlight w:val="none"/>
          <w:lang w:val="en-US" w:eastAsia="zh-CN"/>
        </w:rPr>
        <w:t>09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05</w:t>
      </w:r>
      <w:r>
        <w:rPr>
          <w:rFonts w:hint="eastAsia" w:ascii="宋体" w:hAnsi="宋体" w:eastAsia="宋体" w:cs="宋体"/>
          <w:color w:val="auto"/>
          <w:sz w:val="28"/>
          <w:szCs w:val="28"/>
          <w:highlight w:val="none"/>
        </w:rPr>
        <w:t>日14点00分（北京时间）前递交投标文件。</w:t>
      </w:r>
    </w:p>
    <w:p w14:paraId="3942F64F">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一、项目基本情况</w:t>
      </w:r>
    </w:p>
    <w:p w14:paraId="5DE19BA3">
      <w:pPr>
        <w:adjustRightInd w:val="0"/>
        <w:snapToGrid w:val="0"/>
        <w:spacing w:line="460" w:lineRule="exact"/>
        <w:ind w:firstLine="560" w:firstLineChars="200"/>
        <w:rPr>
          <w:rFonts w:hint="eastAsia" w:ascii="宋体" w:hAnsi="宋体" w:eastAsia="宋体" w:cs="宋体"/>
          <w:color w:val="auto"/>
          <w:spacing w:val="7"/>
          <w:kern w:val="0"/>
          <w:sz w:val="28"/>
          <w:szCs w:val="22"/>
          <w:highlight w:val="none"/>
        </w:rPr>
      </w:pPr>
      <w:r>
        <w:rPr>
          <w:rFonts w:hint="eastAsia" w:ascii="宋体" w:hAnsi="宋体" w:eastAsia="宋体" w:cs="宋体"/>
          <w:color w:val="auto"/>
          <w:sz w:val="28"/>
          <w:szCs w:val="28"/>
          <w:highlight w:val="none"/>
        </w:rPr>
        <w:t>项目编号：ZRNT20240079</w:t>
      </w:r>
    </w:p>
    <w:p w14:paraId="2E726636">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项目名称：</w:t>
      </w:r>
      <w:r>
        <w:rPr>
          <w:rFonts w:hint="eastAsia" w:ascii="宋体" w:hAnsi="宋体" w:eastAsia="宋体" w:cs="宋体"/>
          <w:color w:val="auto"/>
          <w:sz w:val="28"/>
          <w:szCs w:val="28"/>
          <w:highlight w:val="none"/>
          <w:lang w:eastAsia="zh-CN"/>
        </w:rPr>
        <w:t>江苏航运职业技术学院消防维保项目</w:t>
      </w:r>
    </w:p>
    <w:p w14:paraId="3557F18B">
      <w:pPr>
        <w:adjustRightInd w:val="0"/>
        <w:snapToGrid w:val="0"/>
        <w:spacing w:line="460" w:lineRule="exact"/>
        <w:ind w:firstLine="560" w:firstLineChars="200"/>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项目类型：</w:t>
      </w:r>
      <w:r>
        <w:rPr>
          <w:rFonts w:hint="eastAsia" w:ascii="宋体" w:hAnsi="宋体" w:eastAsia="宋体" w:cs="宋体"/>
          <w:color w:val="auto"/>
          <w:sz w:val="28"/>
          <w:szCs w:val="28"/>
          <w:highlight w:val="none"/>
          <w:lang w:val="en-US" w:eastAsia="zh-CN"/>
        </w:rPr>
        <w:t>服务</w:t>
      </w:r>
    </w:p>
    <w:p w14:paraId="27CB3590">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所属行业：</w:t>
      </w:r>
      <w:r>
        <w:rPr>
          <w:rFonts w:hint="eastAsia" w:ascii="宋体" w:hAnsi="宋体" w:eastAsia="宋体" w:cs="宋体"/>
          <w:color w:val="auto"/>
          <w:sz w:val="28"/>
          <w:szCs w:val="28"/>
          <w:highlight w:val="none"/>
          <w:lang w:val="en-US" w:eastAsia="zh-CN"/>
        </w:rPr>
        <w:t>其他未列明行业</w:t>
      </w:r>
    </w:p>
    <w:p w14:paraId="06A64B7F">
      <w:pPr>
        <w:adjustRightInd w:val="0"/>
        <w:snapToGrid w:val="0"/>
        <w:spacing w:line="460" w:lineRule="exact"/>
        <w:ind w:firstLine="560" w:firstLineChars="200"/>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预算金额：</w:t>
      </w:r>
      <w:r>
        <w:rPr>
          <w:rFonts w:hint="eastAsia" w:ascii="宋体" w:hAnsi="宋体" w:eastAsia="宋体" w:cs="宋体"/>
          <w:color w:val="auto"/>
          <w:sz w:val="28"/>
          <w:szCs w:val="28"/>
          <w:highlight w:val="none"/>
          <w:lang w:val="en-US" w:eastAsia="zh-CN"/>
        </w:rPr>
        <w:t>25</w:t>
      </w:r>
      <w:r>
        <w:rPr>
          <w:rFonts w:hint="eastAsia" w:ascii="宋体" w:hAnsi="宋体" w:eastAsia="宋体" w:cs="宋体"/>
          <w:color w:val="auto"/>
          <w:sz w:val="28"/>
          <w:szCs w:val="28"/>
          <w:highlight w:val="none"/>
        </w:rPr>
        <w:t>万元</w:t>
      </w:r>
      <w:r>
        <w:rPr>
          <w:rFonts w:hint="eastAsia" w:ascii="宋体" w:hAnsi="宋体" w:eastAsia="宋体" w:cs="宋体"/>
          <w:color w:val="auto"/>
          <w:sz w:val="28"/>
          <w:szCs w:val="28"/>
          <w:highlight w:val="none"/>
          <w:lang w:val="en-US" w:eastAsia="zh-CN"/>
        </w:rPr>
        <w:t>/年</w:t>
      </w:r>
    </w:p>
    <w:p w14:paraId="4AA68D95">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最高限价：25万元/年，投标报价超过最高限价按无效标处理。</w:t>
      </w:r>
    </w:p>
    <w:p w14:paraId="5397B45D">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采购需求：详见</w:t>
      </w:r>
      <w:r>
        <w:rPr>
          <w:rFonts w:hint="eastAsia" w:ascii="宋体" w:hAnsi="宋体" w:cs="宋体"/>
          <w:color w:val="auto"/>
          <w:sz w:val="28"/>
          <w:szCs w:val="28"/>
          <w:highlight w:val="none"/>
          <w:lang w:val="en-US" w:eastAsia="zh-CN"/>
        </w:rPr>
        <w:t>招标文件</w:t>
      </w:r>
      <w:r>
        <w:rPr>
          <w:rFonts w:hint="eastAsia" w:ascii="宋体" w:hAnsi="宋体" w:eastAsia="宋体" w:cs="宋体"/>
          <w:color w:val="auto"/>
          <w:sz w:val="28"/>
          <w:szCs w:val="28"/>
          <w:highlight w:val="none"/>
        </w:rPr>
        <w:t>，请仔细研究。</w:t>
      </w:r>
    </w:p>
    <w:p w14:paraId="462E2F35">
      <w:pPr>
        <w:spacing w:line="46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合同履行期限：</w:t>
      </w: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年。一年消防维保服务结束后，在</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承诺不增加服务费且当年</w:t>
      </w:r>
      <w:r>
        <w:rPr>
          <w:rFonts w:hint="eastAsia" w:ascii="宋体" w:hAnsi="宋体" w:cs="宋体"/>
          <w:color w:val="auto"/>
          <w:sz w:val="28"/>
          <w:szCs w:val="28"/>
          <w:highlight w:val="none"/>
          <w:lang w:val="en-US" w:eastAsia="zh-CN"/>
        </w:rPr>
        <w:t>每月的</w:t>
      </w:r>
      <w:r>
        <w:rPr>
          <w:rFonts w:hint="eastAsia" w:ascii="宋体" w:hAnsi="宋体" w:eastAsia="宋体" w:cs="宋体"/>
          <w:color w:val="auto"/>
          <w:sz w:val="28"/>
          <w:szCs w:val="28"/>
          <w:highlight w:val="none"/>
        </w:rPr>
        <w:t>消防维保服务评价</w:t>
      </w:r>
      <w:r>
        <w:rPr>
          <w:rFonts w:hint="eastAsia" w:ascii="宋体" w:hAnsi="宋体" w:cs="宋体"/>
          <w:color w:val="auto"/>
          <w:sz w:val="28"/>
          <w:szCs w:val="28"/>
          <w:highlight w:val="none"/>
          <w:lang w:val="en-US" w:eastAsia="zh-CN"/>
        </w:rPr>
        <w:t>得分均在90分以上的，</w:t>
      </w:r>
      <w:r>
        <w:rPr>
          <w:rFonts w:hint="eastAsia" w:ascii="宋体" w:hAnsi="宋体" w:eastAsia="宋体" w:cs="宋体"/>
          <w:color w:val="auto"/>
          <w:sz w:val="28"/>
          <w:szCs w:val="28"/>
          <w:highlight w:val="none"/>
        </w:rPr>
        <w:t>同时满足相关法律法规的前提下，可续签次年服务合同，续签不超过两次。</w:t>
      </w:r>
      <w:r>
        <w:rPr>
          <w:rFonts w:hint="eastAsia" w:ascii="宋体" w:hAnsi="宋体" w:cs="宋体"/>
          <w:color w:val="auto"/>
          <w:sz w:val="28"/>
          <w:szCs w:val="28"/>
          <w:highlight w:val="none"/>
          <w:lang w:val="en-US" w:eastAsia="zh-CN"/>
        </w:rPr>
        <w:t>服务考评表见附件9。</w:t>
      </w:r>
    </w:p>
    <w:p w14:paraId="3FAAD26E">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二、申请人的资格要求：</w:t>
      </w:r>
    </w:p>
    <w:p w14:paraId="3C70B74A">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满足以下条件：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w:t>
      </w:r>
    </w:p>
    <w:p w14:paraId="63D68CB6">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2.本项目的特定资格要求：</w:t>
      </w:r>
    </w:p>
    <w:p w14:paraId="6B690336">
      <w:pPr>
        <w:adjustRightInd w:val="0"/>
        <w:snapToGrid w:val="0"/>
        <w:spacing w:line="460" w:lineRule="exact"/>
        <w:ind w:firstLine="562" w:firstLineChars="200"/>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2.1</w:t>
      </w:r>
      <w:r>
        <w:rPr>
          <w:rFonts w:hint="eastAsia" w:ascii="宋体" w:hAnsi="宋体" w:cs="宋体"/>
          <w:b/>
          <w:bCs/>
          <w:color w:val="auto"/>
          <w:sz w:val="28"/>
          <w:szCs w:val="28"/>
          <w:highlight w:val="none"/>
          <w:lang w:val="en-US" w:eastAsia="zh-CN"/>
        </w:rPr>
        <w:t>投标人</w:t>
      </w:r>
      <w:r>
        <w:rPr>
          <w:rFonts w:hint="eastAsia" w:ascii="宋体" w:hAnsi="宋体" w:eastAsia="宋体" w:cs="宋体"/>
          <w:b/>
          <w:bCs/>
          <w:color w:val="auto"/>
          <w:sz w:val="28"/>
          <w:szCs w:val="28"/>
          <w:highlight w:val="none"/>
          <w:lang w:val="en-US" w:eastAsia="zh-CN"/>
        </w:rPr>
        <w:t>应符合应急管理部颁布的《消防技术服务机构从业条件》（应急〔2019〕88号)的要求，社会消防技术服务信息系统中服务类型包含“消防设施维护保养检测”，需提供“社会消防技术服务信息系统（https://shhxf.119.gov.cn/templet/index_7.jsp）-消防机构信息”栏目的本单位基本信息截图打印件（加盖</w:t>
      </w:r>
      <w:r>
        <w:rPr>
          <w:rFonts w:hint="eastAsia" w:ascii="宋体" w:hAnsi="宋体" w:cs="宋体"/>
          <w:b/>
          <w:bCs/>
          <w:color w:val="auto"/>
          <w:sz w:val="28"/>
          <w:szCs w:val="28"/>
          <w:highlight w:val="none"/>
          <w:lang w:val="en-US" w:eastAsia="zh-CN"/>
        </w:rPr>
        <w:t>投标</w:t>
      </w:r>
      <w:r>
        <w:rPr>
          <w:rFonts w:hint="eastAsia" w:ascii="宋体" w:hAnsi="宋体" w:eastAsia="宋体" w:cs="宋体"/>
          <w:b/>
          <w:bCs/>
          <w:color w:val="auto"/>
          <w:sz w:val="28"/>
          <w:szCs w:val="28"/>
          <w:highlight w:val="none"/>
          <w:lang w:val="en-US" w:eastAsia="zh-CN"/>
        </w:rPr>
        <w:t>单位公章）并确保可以公开查询。</w:t>
      </w:r>
    </w:p>
    <w:p w14:paraId="6DA1D043">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3.提供法定代表人身份证明书及法人身份证复印件盖公章；非法定代表人参加的，另须提供法定代表人签名或盖章的授权委托书及投标代表本人身份证复印件盖公章；</w:t>
      </w:r>
    </w:p>
    <w:p w14:paraId="7756B2E0">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4.本项目不接受联合体投标。</w:t>
      </w:r>
    </w:p>
    <w:p w14:paraId="3FBCA6E5">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三、获取招标文件</w:t>
      </w:r>
    </w:p>
    <w:p w14:paraId="3E37906A">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时间：2024年0</w:t>
      </w:r>
      <w:r>
        <w:rPr>
          <w:rFonts w:hint="eastAsia" w:ascii="宋体" w:hAnsi="宋体" w:cs="宋体"/>
          <w:color w:val="auto"/>
          <w:sz w:val="28"/>
          <w:szCs w:val="28"/>
          <w:highlight w:val="none"/>
          <w:lang w:val="en-US" w:eastAsia="zh-CN"/>
        </w:rPr>
        <w:t>8</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15</w:t>
      </w:r>
      <w:r>
        <w:rPr>
          <w:rFonts w:hint="eastAsia" w:ascii="宋体" w:hAnsi="宋体" w:eastAsia="宋体" w:cs="宋体"/>
          <w:color w:val="auto"/>
          <w:sz w:val="28"/>
          <w:szCs w:val="28"/>
          <w:highlight w:val="none"/>
        </w:rPr>
        <w:t>日至2024年</w:t>
      </w:r>
      <w:r>
        <w:rPr>
          <w:rFonts w:hint="eastAsia" w:ascii="宋体" w:hAnsi="宋体" w:cs="宋体"/>
          <w:color w:val="auto"/>
          <w:sz w:val="28"/>
          <w:szCs w:val="28"/>
          <w:highlight w:val="none"/>
          <w:lang w:val="en-US" w:eastAsia="zh-CN"/>
        </w:rPr>
        <w:t>09</w:t>
      </w:r>
      <w:r>
        <w:rPr>
          <w:rFonts w:hint="eastAsia" w:ascii="宋体" w:hAnsi="宋体" w:eastAsia="宋体" w:cs="宋体"/>
          <w:color w:val="auto"/>
          <w:sz w:val="28"/>
          <w:szCs w:val="28"/>
          <w:highlight w:val="none"/>
        </w:rPr>
        <w:t>月</w:t>
      </w:r>
      <w:r>
        <w:rPr>
          <w:rFonts w:hint="eastAsia" w:ascii="宋体" w:hAnsi="宋体" w:cs="宋体"/>
          <w:color w:val="auto"/>
          <w:sz w:val="28"/>
          <w:szCs w:val="28"/>
          <w:highlight w:val="none"/>
          <w:lang w:val="en-US" w:eastAsia="zh-CN"/>
        </w:rPr>
        <w:t>04</w:t>
      </w:r>
      <w:r>
        <w:rPr>
          <w:rFonts w:hint="eastAsia" w:ascii="宋体" w:hAnsi="宋体" w:eastAsia="宋体" w:cs="宋体"/>
          <w:color w:val="auto"/>
          <w:sz w:val="28"/>
          <w:szCs w:val="28"/>
          <w:highlight w:val="none"/>
        </w:rPr>
        <w:t>日</w:t>
      </w:r>
    </w:p>
    <w:p w14:paraId="5E4A852D">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地点：江苏航运职业技术学院网站</w:t>
      </w:r>
    </w:p>
    <w:p w14:paraId="70277EE0">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方式：自行下载招标文件</w:t>
      </w:r>
    </w:p>
    <w:p w14:paraId="4952B55D">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四、提交投标文件截止时间、开标时间和地点</w:t>
      </w:r>
    </w:p>
    <w:p w14:paraId="4677000D">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2024年09月05日14点00分（北京时间）。逾时，招标人将拒绝接受投标响应文件。</w:t>
      </w:r>
    </w:p>
    <w:p w14:paraId="6082C143">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地点：南通市崇川路58号南通产业技术研究院9号楼10楼开标室，如有变动另行通知。</w:t>
      </w:r>
    </w:p>
    <w:p w14:paraId="3E313E8E">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五、公告期限</w:t>
      </w:r>
    </w:p>
    <w:p w14:paraId="7A1BAC87">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自本公告发布之日起5个工作日。</w:t>
      </w:r>
    </w:p>
    <w:p w14:paraId="2D3FAADF">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六、其他补充事宜</w:t>
      </w:r>
    </w:p>
    <w:p w14:paraId="3783AB44">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1.投标保证金：免收</w:t>
      </w:r>
    </w:p>
    <w:p w14:paraId="667A6D00">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2.项目开标活动模式：见面开标模式，投标</w:t>
      </w:r>
      <w:r>
        <w:rPr>
          <w:rFonts w:hint="eastAsia" w:ascii="宋体" w:hAnsi="宋体" w:cs="宋体"/>
          <w:color w:val="auto"/>
          <w:sz w:val="28"/>
          <w:szCs w:val="28"/>
          <w:highlight w:val="none"/>
          <w:lang w:val="en-US" w:eastAsia="zh-CN"/>
        </w:rPr>
        <w:t>人</w:t>
      </w:r>
      <w:r>
        <w:rPr>
          <w:rFonts w:hint="eastAsia" w:ascii="宋体" w:hAnsi="宋体" w:eastAsia="宋体" w:cs="宋体"/>
          <w:color w:val="auto"/>
          <w:sz w:val="28"/>
          <w:szCs w:val="28"/>
          <w:highlight w:val="none"/>
        </w:rPr>
        <w:t>在南通市崇川路58号南通产业技术研究院9号楼10楼开标室参加开标会。</w:t>
      </w:r>
    </w:p>
    <w:p w14:paraId="601E81FC">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3.项目演示：无。</w:t>
      </w:r>
    </w:p>
    <w:p w14:paraId="69FA36B3">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4.对项目需求部分（</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资格要求、项目需求、商务技术评分标准）的询问、</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请向招标人提出，由招标人负责答复；对项目招标文件其它部分的询问请向代理机构经办人提出。</w:t>
      </w:r>
    </w:p>
    <w:p w14:paraId="1C2566F0">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应依照规定提交各类声明函、承诺函，不再同时提供原件备查或提供有关部门出具的相关证明文件。但中标</w:t>
      </w:r>
      <w:r>
        <w:rPr>
          <w:rFonts w:hint="eastAsia" w:ascii="宋体" w:hAnsi="宋体" w:cs="宋体"/>
          <w:color w:val="auto"/>
          <w:sz w:val="28"/>
          <w:szCs w:val="28"/>
          <w:highlight w:val="none"/>
          <w:lang w:val="en-US" w:eastAsia="zh-CN"/>
        </w:rPr>
        <w:t>人</w:t>
      </w:r>
      <w:r>
        <w:rPr>
          <w:rFonts w:hint="eastAsia" w:ascii="宋体" w:hAnsi="宋体" w:eastAsia="宋体" w:cs="宋体"/>
          <w:color w:val="auto"/>
          <w:sz w:val="28"/>
          <w:szCs w:val="28"/>
          <w:highlight w:val="none"/>
        </w:rPr>
        <w:t>应做好提交声明函、承诺函、认证、业绩等相应原件的核查准备；核查后发现虚假或违背承诺的，依照相关法律法规规定处理。</w:t>
      </w:r>
    </w:p>
    <w:p w14:paraId="5D9ECD54">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七、对本次招标提出询问，请按以下方式联系。</w:t>
      </w:r>
    </w:p>
    <w:p w14:paraId="5D6CC7C3">
      <w:pPr>
        <w:shd w:val="clear" w:color="auto" w:fill="FFFFFF"/>
        <w:spacing w:line="460" w:lineRule="exact"/>
        <w:ind w:firstLine="588"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1.招标人信息</w:t>
      </w:r>
    </w:p>
    <w:p w14:paraId="42F415D6">
      <w:pPr>
        <w:shd w:val="clear" w:color="auto" w:fill="FFFFFF"/>
        <w:spacing w:line="460" w:lineRule="exact"/>
        <w:ind w:firstLine="588" w:firstLineChars="200"/>
        <w:rPr>
          <w:rFonts w:hint="eastAsia" w:ascii="宋体" w:hAnsi="宋体" w:eastAsia="宋体" w:cs="宋体"/>
          <w:color w:val="auto"/>
          <w:spacing w:val="7"/>
          <w:sz w:val="28"/>
          <w:szCs w:val="28"/>
          <w:highlight w:val="none"/>
        </w:rPr>
      </w:pPr>
      <w:bookmarkStart w:id="3" w:name="_Toc28359097"/>
      <w:bookmarkStart w:id="4" w:name="_Toc35393638"/>
      <w:bookmarkStart w:id="5" w:name="_Toc35393807"/>
      <w:bookmarkStart w:id="6" w:name="_Toc28359020"/>
      <w:r>
        <w:rPr>
          <w:rFonts w:hint="eastAsia" w:ascii="宋体" w:hAnsi="宋体" w:eastAsia="宋体" w:cs="宋体"/>
          <w:color w:val="auto"/>
          <w:spacing w:val="7"/>
          <w:sz w:val="28"/>
          <w:szCs w:val="28"/>
          <w:highlight w:val="none"/>
        </w:rPr>
        <w:t>名称：江苏航运职业技术学院</w:t>
      </w:r>
    </w:p>
    <w:p w14:paraId="1A39B9E0">
      <w:pPr>
        <w:shd w:val="clear" w:color="auto" w:fill="FFFFFF"/>
        <w:spacing w:line="460" w:lineRule="exact"/>
        <w:ind w:firstLine="588" w:firstLineChars="200"/>
        <w:rPr>
          <w:rFonts w:hint="eastAsia" w:ascii="宋体" w:hAnsi="宋体" w:eastAsia="宋体" w:cs="宋体"/>
          <w:color w:val="auto"/>
          <w:spacing w:val="7"/>
          <w:sz w:val="28"/>
          <w:szCs w:val="28"/>
          <w:highlight w:val="none"/>
          <w:lang w:val="en-US" w:eastAsia="zh-CN"/>
        </w:rPr>
      </w:pPr>
      <w:r>
        <w:rPr>
          <w:rFonts w:hint="eastAsia" w:ascii="宋体" w:hAnsi="宋体" w:cs="宋体"/>
          <w:color w:val="auto"/>
          <w:spacing w:val="7"/>
          <w:sz w:val="28"/>
          <w:szCs w:val="28"/>
          <w:highlight w:val="none"/>
          <w:lang w:val="en-US" w:eastAsia="zh-CN"/>
        </w:rPr>
        <w:t>地址：江苏省南通市崇川区通盛大道185号</w:t>
      </w:r>
    </w:p>
    <w:p w14:paraId="7341598E">
      <w:pPr>
        <w:shd w:val="clear" w:color="auto" w:fill="FFFFFF"/>
        <w:spacing w:line="460" w:lineRule="exact"/>
        <w:ind w:firstLine="588"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联系人：</w:t>
      </w:r>
      <w:r>
        <w:rPr>
          <w:rFonts w:hint="eastAsia" w:ascii="宋体" w:hAnsi="宋体" w:eastAsia="宋体" w:cs="宋体"/>
          <w:color w:val="auto"/>
          <w:spacing w:val="7"/>
          <w:sz w:val="28"/>
          <w:szCs w:val="28"/>
          <w:highlight w:val="none"/>
          <w:lang w:val="en-US" w:eastAsia="zh-CN"/>
        </w:rPr>
        <w:t>杨</w:t>
      </w:r>
      <w:r>
        <w:rPr>
          <w:rFonts w:hint="eastAsia" w:ascii="宋体" w:hAnsi="宋体" w:eastAsia="宋体" w:cs="宋体"/>
          <w:color w:val="auto"/>
          <w:spacing w:val="7"/>
          <w:sz w:val="28"/>
          <w:szCs w:val="28"/>
          <w:highlight w:val="none"/>
        </w:rPr>
        <w:t>老师 15806298107</w:t>
      </w:r>
    </w:p>
    <w:p w14:paraId="76EFAF7B">
      <w:pPr>
        <w:shd w:val="clear" w:color="auto" w:fill="FFFFFF"/>
        <w:spacing w:line="460" w:lineRule="exact"/>
        <w:ind w:firstLine="588"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2.招标代理机构信息</w:t>
      </w:r>
      <w:bookmarkEnd w:id="3"/>
      <w:bookmarkEnd w:id="4"/>
      <w:bookmarkEnd w:id="5"/>
      <w:bookmarkEnd w:id="6"/>
    </w:p>
    <w:p w14:paraId="70D76113">
      <w:pPr>
        <w:shd w:val="clear" w:color="auto" w:fill="FFFFFF"/>
        <w:spacing w:line="460" w:lineRule="exact"/>
        <w:ind w:firstLine="588"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名称：江苏中润工程建设咨询有限公司</w:t>
      </w:r>
    </w:p>
    <w:p w14:paraId="09C6A2ED">
      <w:pPr>
        <w:shd w:val="clear" w:color="auto" w:fill="FFFFFF"/>
        <w:spacing w:line="460" w:lineRule="exact"/>
        <w:ind w:firstLine="588"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地址：南通市崇川路58号南通产业技术研究院9号楼10楼1004</w:t>
      </w:r>
    </w:p>
    <w:p w14:paraId="4092ACE2">
      <w:pPr>
        <w:shd w:val="clear" w:color="auto" w:fill="FFFFFF"/>
        <w:spacing w:line="460" w:lineRule="exact"/>
        <w:ind w:firstLine="588" w:firstLineChars="200"/>
        <w:rPr>
          <w:rFonts w:hint="eastAsia" w:ascii="宋体" w:hAnsi="宋体" w:eastAsia="宋体" w:cs="宋体"/>
          <w:color w:val="auto"/>
          <w:spacing w:val="7"/>
          <w:sz w:val="28"/>
          <w:szCs w:val="28"/>
          <w:highlight w:val="none"/>
        </w:rPr>
      </w:pPr>
      <w:r>
        <w:rPr>
          <w:rFonts w:hint="eastAsia" w:ascii="宋体" w:hAnsi="宋体" w:eastAsia="宋体" w:cs="宋体"/>
          <w:color w:val="auto"/>
          <w:spacing w:val="7"/>
          <w:sz w:val="28"/>
          <w:szCs w:val="28"/>
          <w:highlight w:val="none"/>
        </w:rPr>
        <w:t>联系方式：王工0513-55887688 13906272111</w:t>
      </w:r>
    </w:p>
    <w:p w14:paraId="5A0E5B57">
      <w:pPr>
        <w:spacing w:line="800" w:lineRule="exact"/>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r>
        <w:rPr>
          <w:rFonts w:hint="eastAsia" w:ascii="宋体" w:hAnsi="宋体" w:eastAsia="宋体" w:cs="宋体"/>
          <w:b/>
          <w:color w:val="auto"/>
          <w:sz w:val="36"/>
          <w:szCs w:val="36"/>
          <w:highlight w:val="none"/>
        </w:rPr>
        <w:t>第二部分  投标须知</w:t>
      </w:r>
    </w:p>
    <w:p w14:paraId="4B0BE109">
      <w:pPr>
        <w:pStyle w:val="4"/>
        <w:adjustRightInd w:val="0"/>
        <w:snapToGrid w:val="0"/>
        <w:spacing w:before="0" w:after="0" w:line="420" w:lineRule="exact"/>
        <w:ind w:firstLine="562" w:firstLineChars="200"/>
        <w:rPr>
          <w:rFonts w:hint="eastAsia" w:ascii="宋体" w:hAnsi="宋体" w:eastAsia="宋体" w:cs="宋体"/>
          <w:color w:val="auto"/>
          <w:sz w:val="28"/>
          <w:szCs w:val="28"/>
          <w:highlight w:val="none"/>
        </w:rPr>
      </w:pPr>
      <w:bookmarkStart w:id="7" w:name="_Toc513029203"/>
      <w:bookmarkStart w:id="8" w:name="_Toc16938519"/>
      <w:bookmarkStart w:id="9" w:name="_Toc20823275"/>
      <w:bookmarkStart w:id="10" w:name="_Toc120614214"/>
      <w:r>
        <w:rPr>
          <w:rFonts w:hint="eastAsia" w:ascii="宋体" w:hAnsi="宋体" w:eastAsia="宋体" w:cs="宋体"/>
          <w:color w:val="auto"/>
          <w:sz w:val="28"/>
          <w:szCs w:val="28"/>
          <w:highlight w:val="none"/>
        </w:rPr>
        <w:t>一、总则</w:t>
      </w:r>
      <w:bookmarkEnd w:id="7"/>
      <w:bookmarkEnd w:id="8"/>
      <w:bookmarkEnd w:id="9"/>
      <w:bookmarkEnd w:id="10"/>
    </w:p>
    <w:p w14:paraId="612D07EB">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11" w:name="_Hlt16619475"/>
      <w:bookmarkEnd w:id="11"/>
      <w:bookmarkStart w:id="12" w:name="_Toc458694821"/>
      <w:bookmarkStart w:id="13" w:name="_Toc513029204"/>
      <w:bookmarkStart w:id="14" w:name="_Toc16938520"/>
      <w:bookmarkStart w:id="15" w:name="_Toc20823276"/>
      <w:r>
        <w:rPr>
          <w:rFonts w:hint="eastAsia" w:ascii="宋体" w:hAnsi="宋体" w:eastAsia="宋体" w:cs="宋体"/>
          <w:color w:val="auto"/>
          <w:sz w:val="28"/>
          <w:szCs w:val="28"/>
          <w:highlight w:val="none"/>
        </w:rPr>
        <w:t>1</w:t>
      </w:r>
      <w:bookmarkEnd w:id="12"/>
      <w:r>
        <w:rPr>
          <w:rFonts w:hint="eastAsia" w:ascii="宋体" w:hAnsi="宋体" w:eastAsia="宋体" w:cs="宋体"/>
          <w:color w:val="auto"/>
          <w:sz w:val="28"/>
          <w:szCs w:val="28"/>
          <w:highlight w:val="none"/>
        </w:rPr>
        <w:t>.招标</w:t>
      </w:r>
      <w:bookmarkEnd w:id="13"/>
      <w:bookmarkEnd w:id="14"/>
      <w:bookmarkEnd w:id="15"/>
      <w:r>
        <w:rPr>
          <w:rFonts w:hint="eastAsia" w:ascii="宋体" w:hAnsi="宋体" w:eastAsia="宋体" w:cs="宋体"/>
          <w:color w:val="auto"/>
          <w:sz w:val="28"/>
          <w:szCs w:val="28"/>
          <w:highlight w:val="none"/>
        </w:rPr>
        <w:t>方式</w:t>
      </w:r>
    </w:p>
    <w:p w14:paraId="3C984AA6">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1.1 本次招标采取公开招标方式，本招标文件仅适用于招标公告中所述项目。</w:t>
      </w:r>
    </w:p>
    <w:p w14:paraId="7CC1E830">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16" w:name="_Toc16938521"/>
      <w:bookmarkStart w:id="17" w:name="_Toc20823277"/>
      <w:bookmarkStart w:id="18" w:name="_Toc513029205"/>
      <w:r>
        <w:rPr>
          <w:rFonts w:hint="eastAsia" w:ascii="宋体" w:hAnsi="宋体" w:eastAsia="宋体" w:cs="宋体"/>
          <w:color w:val="auto"/>
          <w:sz w:val="28"/>
          <w:szCs w:val="28"/>
          <w:highlight w:val="none"/>
        </w:rPr>
        <w:t>2.合格的投标人</w:t>
      </w:r>
      <w:bookmarkEnd w:id="16"/>
      <w:bookmarkEnd w:id="17"/>
      <w:bookmarkEnd w:id="18"/>
    </w:p>
    <w:p w14:paraId="3CE9FFE3">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2.1满足招标公告中</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的资格要求的规定。</w:t>
      </w:r>
    </w:p>
    <w:p w14:paraId="096B24BA">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满足本文件实质性条款的规定。</w:t>
      </w:r>
    </w:p>
    <w:p w14:paraId="553FDE70">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19" w:name="_Toc20823278"/>
      <w:bookmarkStart w:id="20" w:name="_Toc16938522"/>
      <w:bookmarkStart w:id="21" w:name="_Toc513029206"/>
      <w:r>
        <w:rPr>
          <w:rFonts w:hint="eastAsia" w:ascii="宋体" w:hAnsi="宋体" w:eastAsia="宋体" w:cs="宋体"/>
          <w:color w:val="auto"/>
          <w:sz w:val="28"/>
          <w:szCs w:val="28"/>
          <w:highlight w:val="none"/>
        </w:rPr>
        <w:t>3.适用法律</w:t>
      </w:r>
      <w:bookmarkEnd w:id="19"/>
      <w:bookmarkEnd w:id="20"/>
      <w:bookmarkEnd w:id="21"/>
    </w:p>
    <w:p w14:paraId="13A271FC">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3.1本次招标及由此产生的合同受中华人民共和国有关的法律法规制约和保护。</w:t>
      </w:r>
    </w:p>
    <w:p w14:paraId="45D42190">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22" w:name="_Toc462564067"/>
      <w:bookmarkStart w:id="23" w:name="_Toc20823279"/>
      <w:bookmarkStart w:id="24" w:name="_Toc16938523"/>
      <w:bookmarkStart w:id="25" w:name="_Toc513029207"/>
      <w:r>
        <w:rPr>
          <w:rFonts w:hint="eastAsia" w:ascii="宋体" w:hAnsi="宋体" w:eastAsia="宋体" w:cs="宋体"/>
          <w:color w:val="auto"/>
          <w:sz w:val="28"/>
          <w:szCs w:val="28"/>
          <w:highlight w:val="none"/>
        </w:rPr>
        <w:t>4.投标费用</w:t>
      </w:r>
      <w:bookmarkEnd w:id="22"/>
      <w:bookmarkEnd w:id="23"/>
      <w:bookmarkEnd w:id="24"/>
      <w:bookmarkEnd w:id="25"/>
    </w:p>
    <w:p w14:paraId="49593171">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4.1本项目工本费300元/份，于开标现场支付给采购代理机构，无论是否中标售后不退。</w:t>
      </w:r>
    </w:p>
    <w:p w14:paraId="6A3F2E87">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4.2本项目采购代理服务费按照发改价格[2011]534号文标准计收。由</w:t>
      </w:r>
      <w:r>
        <w:rPr>
          <w:rFonts w:hint="eastAsia" w:ascii="宋体" w:hAnsi="宋体" w:cs="宋体"/>
          <w:color w:val="auto"/>
          <w:sz w:val="28"/>
          <w:szCs w:val="28"/>
          <w:highlight w:val="none"/>
          <w:lang w:eastAsia="zh-CN"/>
        </w:rPr>
        <w:t>中标人</w:t>
      </w:r>
      <w:r>
        <w:rPr>
          <w:rFonts w:hint="eastAsia" w:ascii="宋体" w:hAnsi="宋体" w:eastAsia="宋体" w:cs="宋体"/>
          <w:color w:val="auto"/>
          <w:sz w:val="28"/>
          <w:szCs w:val="28"/>
          <w:highlight w:val="none"/>
        </w:rPr>
        <w:t>承担。</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在报价时应综合考虑（不单列）。</w:t>
      </w:r>
    </w:p>
    <w:p w14:paraId="47E89738">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代理费等费用定标后由中标候选人支付给代理机构。因中标人原因导致中标结果变更或取消中标资格等，代理费不予退还。</w:t>
      </w:r>
    </w:p>
    <w:p w14:paraId="60D5EFF5">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5.招标文件的约束力</w:t>
      </w:r>
    </w:p>
    <w:p w14:paraId="5AEBC8A5">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5.1</w:t>
      </w:r>
      <w:r>
        <w:rPr>
          <w:rFonts w:hint="eastAsia" w:ascii="宋体" w:hAnsi="宋体" w:eastAsia="宋体" w:cs="宋体"/>
          <w:color w:val="auto"/>
          <w:sz w:val="28"/>
          <w:szCs w:val="28"/>
          <w:highlight w:val="none"/>
        </w:rPr>
        <w:t xml:space="preserve"> 投标人一旦参加本项目采购活动，即被认为接受了本招标文件的规定和约束。</w:t>
      </w:r>
    </w:p>
    <w:p w14:paraId="535F2097">
      <w:pPr>
        <w:pStyle w:val="5"/>
        <w:adjustRightInd w:val="0"/>
        <w:snapToGrid w:val="0"/>
        <w:spacing w:line="42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6.招标文件的解释</w:t>
      </w:r>
    </w:p>
    <w:p w14:paraId="6F0D3463">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6.1</w:t>
      </w:r>
      <w:r>
        <w:rPr>
          <w:rFonts w:hint="eastAsia" w:ascii="宋体" w:hAnsi="宋体" w:eastAsia="宋体" w:cs="宋体"/>
          <w:color w:val="auto"/>
          <w:sz w:val="28"/>
          <w:szCs w:val="28"/>
          <w:highlight w:val="none"/>
        </w:rPr>
        <w:t>招标文件需求部分（</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资格要求、项目需求、商务技术评分标准）由招标人解释，其它部分由代理机构解释。</w:t>
      </w:r>
    </w:p>
    <w:p w14:paraId="18F67E8E">
      <w:pPr>
        <w:pStyle w:val="4"/>
        <w:adjustRightInd w:val="0"/>
        <w:snapToGrid w:val="0"/>
        <w:spacing w:before="0" w:after="0" w:line="420" w:lineRule="exact"/>
        <w:ind w:firstLine="562" w:firstLineChars="200"/>
        <w:rPr>
          <w:rFonts w:hint="eastAsia" w:ascii="宋体" w:hAnsi="宋体" w:eastAsia="宋体" w:cs="宋体"/>
          <w:color w:val="auto"/>
          <w:sz w:val="28"/>
          <w:szCs w:val="28"/>
          <w:highlight w:val="none"/>
        </w:rPr>
      </w:pPr>
      <w:bookmarkStart w:id="26" w:name="_Toc20823281"/>
      <w:bookmarkStart w:id="27" w:name="_Toc513029209"/>
      <w:bookmarkStart w:id="28" w:name="_Toc120614215"/>
      <w:bookmarkStart w:id="29" w:name="_Toc16938525"/>
      <w:r>
        <w:rPr>
          <w:rFonts w:hint="eastAsia" w:ascii="宋体" w:hAnsi="宋体" w:eastAsia="宋体" w:cs="宋体"/>
          <w:color w:val="auto"/>
          <w:sz w:val="28"/>
          <w:szCs w:val="28"/>
          <w:highlight w:val="none"/>
        </w:rPr>
        <w:t>二、招标文件</w:t>
      </w:r>
      <w:bookmarkEnd w:id="26"/>
      <w:bookmarkEnd w:id="27"/>
      <w:bookmarkEnd w:id="28"/>
      <w:bookmarkEnd w:id="29"/>
    </w:p>
    <w:p w14:paraId="144D84C1">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30" w:name="_Toc16938526"/>
      <w:bookmarkStart w:id="31" w:name="_Toc513029210"/>
      <w:bookmarkStart w:id="32" w:name="_Toc20823282"/>
      <w:r>
        <w:rPr>
          <w:rFonts w:hint="eastAsia" w:ascii="宋体" w:hAnsi="宋体" w:eastAsia="宋体" w:cs="宋体"/>
          <w:color w:val="auto"/>
          <w:sz w:val="28"/>
          <w:szCs w:val="28"/>
          <w:highlight w:val="none"/>
        </w:rPr>
        <w:t>1.招标文件构成</w:t>
      </w:r>
      <w:bookmarkEnd w:id="30"/>
      <w:bookmarkEnd w:id="31"/>
      <w:bookmarkEnd w:id="32"/>
    </w:p>
    <w:p w14:paraId="7C3BCEAE">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1.1</w:t>
      </w:r>
      <w:r>
        <w:rPr>
          <w:rFonts w:hint="eastAsia" w:ascii="宋体" w:hAnsi="宋体" w:eastAsia="宋体" w:cs="宋体"/>
          <w:color w:val="auto"/>
          <w:sz w:val="28"/>
          <w:szCs w:val="28"/>
          <w:highlight w:val="none"/>
        </w:rPr>
        <w:t xml:space="preserve"> 招标文件由以下部分组成：</w:t>
      </w:r>
    </w:p>
    <w:p w14:paraId="7B27A505">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（1）招标邀请</w:t>
      </w:r>
    </w:p>
    <w:p w14:paraId="7F7974F7">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（2）投标须知</w:t>
      </w:r>
    </w:p>
    <w:p w14:paraId="6FB9B514">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（3）项目需求</w:t>
      </w:r>
    </w:p>
    <w:p w14:paraId="298168B5">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（4）开标和评标</w:t>
      </w:r>
    </w:p>
    <w:p w14:paraId="0BF3216A">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（5）投标文件组成</w:t>
      </w:r>
    </w:p>
    <w:p w14:paraId="0CD10384">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（6）附件（如有）</w:t>
      </w:r>
    </w:p>
    <w:p w14:paraId="75F88D81">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请仔细检查招标文件是否齐全，如有缺漏请立即与代理机构联系解决。</w:t>
      </w:r>
    </w:p>
    <w:p w14:paraId="3CCB5E20">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 xml:space="preserve">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3A7080A3">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33" w:name="_Toc462564070"/>
      <w:bookmarkStart w:id="34" w:name="_Toc20823283"/>
      <w:bookmarkStart w:id="35" w:name="_Toc513029211"/>
      <w:bookmarkStart w:id="36" w:name="_Toc16938527"/>
      <w:r>
        <w:rPr>
          <w:rFonts w:hint="eastAsia" w:ascii="宋体" w:hAnsi="宋体" w:eastAsia="宋体" w:cs="宋体"/>
          <w:color w:val="auto"/>
          <w:sz w:val="28"/>
          <w:szCs w:val="28"/>
          <w:highlight w:val="none"/>
        </w:rPr>
        <w:t>2.招标文件的澄清</w:t>
      </w:r>
      <w:bookmarkEnd w:id="33"/>
      <w:bookmarkEnd w:id="34"/>
      <w:bookmarkEnd w:id="35"/>
      <w:bookmarkEnd w:id="36"/>
    </w:p>
    <w:p w14:paraId="765F92DA">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2.1</w:t>
      </w:r>
      <w:r>
        <w:rPr>
          <w:rFonts w:hint="eastAsia" w:ascii="宋体" w:hAnsi="宋体" w:eastAsia="宋体" w:cs="宋体"/>
          <w:color w:val="auto"/>
          <w:sz w:val="28"/>
          <w:szCs w:val="28"/>
          <w:highlight w:val="none"/>
        </w:rPr>
        <w:t xml:space="preserve"> 任何要求对招标文件进行澄清的投标人，应在投标截止期十日前按招标公告中的通讯地址，以书面形式通知招标人。招标人有权对发出的招标文件进行必要的澄清或修改</w:t>
      </w:r>
    </w:p>
    <w:p w14:paraId="59461342">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2.2招标人视情组织答疑会</w:t>
      </w:r>
    </w:p>
    <w:p w14:paraId="0A9BB6DD">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37" w:name="_Toc16938528"/>
      <w:bookmarkStart w:id="38" w:name="_Toc462564071"/>
      <w:bookmarkStart w:id="39" w:name="_Toc513029212"/>
      <w:bookmarkStart w:id="40" w:name="_Toc20823284"/>
      <w:r>
        <w:rPr>
          <w:rFonts w:hint="eastAsia" w:ascii="宋体" w:hAnsi="宋体" w:eastAsia="宋体" w:cs="宋体"/>
          <w:color w:val="auto"/>
          <w:sz w:val="28"/>
          <w:szCs w:val="28"/>
          <w:highlight w:val="none"/>
        </w:rPr>
        <w:t>3.招标文件的修改</w:t>
      </w:r>
      <w:bookmarkEnd w:id="37"/>
      <w:bookmarkEnd w:id="38"/>
      <w:bookmarkEnd w:id="39"/>
      <w:bookmarkEnd w:id="40"/>
    </w:p>
    <w:p w14:paraId="5367CAB9">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3.1</w:t>
      </w:r>
      <w:r>
        <w:rPr>
          <w:rFonts w:hint="eastAsia" w:ascii="宋体" w:hAnsi="宋体" w:eastAsia="宋体" w:cs="宋体"/>
          <w:color w:val="auto"/>
          <w:sz w:val="28"/>
          <w:szCs w:val="28"/>
          <w:highlight w:val="none"/>
        </w:rPr>
        <w:t xml:space="preserve"> 在投标截止时间前，代理机构可以对招标文件进行修改。</w:t>
      </w:r>
    </w:p>
    <w:p w14:paraId="291F8AB2">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3.2 </w:t>
      </w:r>
      <w:r>
        <w:rPr>
          <w:rFonts w:hint="eastAsia" w:ascii="宋体" w:hAnsi="宋体" w:eastAsia="宋体" w:cs="宋体"/>
          <w:color w:val="auto"/>
          <w:sz w:val="28"/>
          <w:szCs w:val="28"/>
          <w:highlight w:val="none"/>
        </w:rPr>
        <w:t>代理机构有权按照法定的要求推迟投标截止日期和开标日期。</w:t>
      </w:r>
    </w:p>
    <w:p w14:paraId="79B6E9F5">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3.3 </w:t>
      </w:r>
      <w:r>
        <w:rPr>
          <w:rFonts w:hint="eastAsia" w:ascii="宋体" w:hAnsi="宋体" w:eastAsia="宋体" w:cs="宋体"/>
          <w:color w:val="auto"/>
          <w:sz w:val="28"/>
          <w:szCs w:val="28"/>
          <w:highlight w:val="none"/>
        </w:rPr>
        <w:t>招标文件的修改将在江苏航运职业技术学院网站公布，补充文件将作为招标文件的组成部分，并对投标人具有约束力。</w:t>
      </w:r>
    </w:p>
    <w:p w14:paraId="684BEAFA">
      <w:pPr>
        <w:pStyle w:val="4"/>
        <w:adjustRightInd w:val="0"/>
        <w:snapToGrid w:val="0"/>
        <w:spacing w:before="0" w:after="0" w:line="420" w:lineRule="exact"/>
        <w:ind w:firstLine="562" w:firstLineChars="200"/>
        <w:rPr>
          <w:rFonts w:hint="eastAsia" w:ascii="宋体" w:hAnsi="宋体" w:eastAsia="宋体" w:cs="宋体"/>
          <w:color w:val="auto"/>
          <w:sz w:val="28"/>
          <w:szCs w:val="28"/>
          <w:highlight w:val="none"/>
        </w:rPr>
      </w:pPr>
      <w:bookmarkStart w:id="41" w:name="_Toc513029213"/>
      <w:bookmarkStart w:id="42" w:name="_Toc120614216"/>
      <w:bookmarkStart w:id="43" w:name="_Toc462564072"/>
      <w:bookmarkStart w:id="44" w:name="_Toc16938529"/>
      <w:bookmarkStart w:id="45" w:name="_Toc20823285"/>
      <w:r>
        <w:rPr>
          <w:rFonts w:hint="eastAsia" w:ascii="宋体" w:hAnsi="宋体" w:eastAsia="宋体" w:cs="宋体"/>
          <w:color w:val="auto"/>
          <w:sz w:val="28"/>
          <w:szCs w:val="28"/>
          <w:highlight w:val="none"/>
        </w:rPr>
        <w:t>三、投标文件的编制</w:t>
      </w:r>
      <w:bookmarkEnd w:id="41"/>
      <w:bookmarkEnd w:id="42"/>
      <w:bookmarkEnd w:id="43"/>
      <w:bookmarkEnd w:id="44"/>
      <w:bookmarkEnd w:id="45"/>
    </w:p>
    <w:p w14:paraId="217AAABF">
      <w:pPr>
        <w:pStyle w:val="5"/>
        <w:adjustRightInd w:val="0"/>
        <w:snapToGrid w:val="0"/>
        <w:spacing w:line="420" w:lineRule="exact"/>
        <w:ind w:firstLine="560" w:firstLineChars="200"/>
        <w:jc w:val="both"/>
        <w:rPr>
          <w:rFonts w:hint="eastAsia" w:ascii="宋体" w:hAnsi="宋体" w:eastAsia="宋体" w:cs="宋体"/>
          <w:bCs/>
          <w:color w:val="auto"/>
          <w:sz w:val="28"/>
          <w:szCs w:val="28"/>
          <w:highlight w:val="none"/>
        </w:rPr>
      </w:pPr>
      <w:bookmarkStart w:id="46" w:name="_Toc462564073"/>
      <w:bookmarkStart w:id="47" w:name="_Toc16938530"/>
      <w:bookmarkStart w:id="48" w:name="_Toc20823286"/>
      <w:bookmarkStart w:id="49" w:name="_Toc513029214"/>
      <w:r>
        <w:rPr>
          <w:rFonts w:hint="eastAsia" w:ascii="宋体" w:hAnsi="宋体" w:eastAsia="宋体" w:cs="宋体"/>
          <w:color w:val="auto"/>
          <w:sz w:val="28"/>
          <w:szCs w:val="28"/>
          <w:highlight w:val="none"/>
        </w:rPr>
        <w:t>1.投标文件的语言及度量衡单位</w:t>
      </w:r>
      <w:bookmarkEnd w:id="46"/>
      <w:bookmarkEnd w:id="47"/>
      <w:bookmarkEnd w:id="48"/>
      <w:bookmarkEnd w:id="49"/>
    </w:p>
    <w:p w14:paraId="3F8A5A8D">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1.1</w:t>
      </w:r>
      <w:r>
        <w:rPr>
          <w:rFonts w:hint="eastAsia" w:ascii="宋体" w:hAnsi="宋体" w:eastAsia="宋体" w:cs="宋体"/>
          <w:color w:val="auto"/>
          <w:sz w:val="28"/>
          <w:szCs w:val="28"/>
          <w:highlight w:val="none"/>
        </w:rPr>
        <w:t xml:space="preserve"> 投标人提交的投标文件以及投标人与代理机构就有关投标的所有来往通知、函件和文件均应使用</w:t>
      </w:r>
      <w:r>
        <w:rPr>
          <w:rFonts w:hint="eastAsia" w:ascii="宋体" w:hAnsi="宋体" w:eastAsia="宋体" w:cs="宋体"/>
          <w:bCs/>
          <w:color w:val="auto"/>
          <w:sz w:val="28"/>
          <w:szCs w:val="28"/>
          <w:highlight w:val="none"/>
        </w:rPr>
        <w:t>简体中文</w:t>
      </w:r>
      <w:r>
        <w:rPr>
          <w:rFonts w:hint="eastAsia" w:ascii="宋体" w:hAnsi="宋体" w:eastAsia="宋体" w:cs="宋体"/>
          <w:color w:val="auto"/>
          <w:sz w:val="28"/>
          <w:szCs w:val="28"/>
          <w:highlight w:val="none"/>
        </w:rPr>
        <w:t>。</w:t>
      </w:r>
    </w:p>
    <w:p w14:paraId="114125B3">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w:t>
      </w:r>
      <w:r>
        <w:rPr>
          <w:rFonts w:hint="eastAsia" w:ascii="宋体" w:hAnsi="宋体" w:eastAsia="宋体" w:cs="宋体"/>
          <w:color w:val="auto"/>
          <w:sz w:val="28"/>
          <w:szCs w:val="28"/>
          <w:highlight w:val="none"/>
        </w:rPr>
        <w:t xml:space="preserve"> 除技术性能另有规定外，投标文件所使用的度量衡单位，均须采用国家法定计量单位。</w:t>
      </w:r>
    </w:p>
    <w:p w14:paraId="69C686E7">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50" w:name="_Toc16938531"/>
      <w:bookmarkStart w:id="51" w:name="_Toc513029215"/>
      <w:bookmarkStart w:id="52" w:name="_Toc20823287"/>
      <w:bookmarkStart w:id="53" w:name="_Toc462564074"/>
      <w:r>
        <w:rPr>
          <w:rFonts w:hint="eastAsia" w:ascii="宋体" w:hAnsi="宋体" w:eastAsia="宋体" w:cs="宋体"/>
          <w:color w:val="auto"/>
          <w:sz w:val="28"/>
          <w:szCs w:val="28"/>
          <w:highlight w:val="none"/>
        </w:rPr>
        <w:t>2.投标文件构成</w:t>
      </w:r>
      <w:bookmarkEnd w:id="50"/>
      <w:bookmarkEnd w:id="51"/>
      <w:bookmarkEnd w:id="52"/>
      <w:bookmarkEnd w:id="53"/>
    </w:p>
    <w:p w14:paraId="483FC22B">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2.1</w:t>
      </w:r>
      <w:r>
        <w:rPr>
          <w:rFonts w:hint="eastAsia" w:ascii="宋体" w:hAnsi="宋体" w:eastAsia="宋体" w:cs="宋体"/>
          <w:color w:val="auto"/>
          <w:sz w:val="28"/>
          <w:szCs w:val="28"/>
          <w:highlight w:val="none"/>
        </w:rPr>
        <w:t xml:space="preserve"> 投标人编写的投标文件应包括资格审查文件、商务技术文件文件、价格文件文件、电子响应文件。</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按“第五部分 投标文件组成”要求编写投标文件</w:t>
      </w:r>
    </w:p>
    <w:p w14:paraId="55978B19">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54" w:name="_Hlt26670360"/>
      <w:bookmarkEnd w:id="54"/>
      <w:bookmarkStart w:id="55" w:name="_Hlt26954838"/>
      <w:bookmarkEnd w:id="55"/>
      <w:bookmarkStart w:id="56" w:name="_Hlt26668975"/>
      <w:bookmarkEnd w:id="56"/>
      <w:bookmarkStart w:id="57" w:name="_Toc14577360"/>
      <w:bookmarkStart w:id="58" w:name="_Toc49090511"/>
      <w:r>
        <w:rPr>
          <w:rFonts w:hint="eastAsia" w:ascii="宋体" w:hAnsi="宋体" w:eastAsia="宋体" w:cs="宋体"/>
          <w:color w:val="auto"/>
          <w:sz w:val="28"/>
          <w:szCs w:val="28"/>
          <w:highlight w:val="none"/>
        </w:rPr>
        <w:t>3.投标有效期</w:t>
      </w:r>
      <w:bookmarkEnd w:id="57"/>
      <w:bookmarkEnd w:id="58"/>
    </w:p>
    <w:p w14:paraId="639D6224">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3.1投标有效期为代理机构规定的开标之日后</w:t>
      </w:r>
      <w:r>
        <w:rPr>
          <w:rFonts w:hint="eastAsia" w:ascii="宋体" w:hAnsi="宋体" w:eastAsia="宋体" w:cs="宋体"/>
          <w:b/>
          <w:color w:val="auto"/>
          <w:sz w:val="28"/>
          <w:szCs w:val="28"/>
          <w:highlight w:val="none"/>
          <w:u w:val="single"/>
        </w:rPr>
        <w:t>六十（60）天</w:t>
      </w:r>
      <w:r>
        <w:rPr>
          <w:rFonts w:hint="eastAsia" w:ascii="宋体" w:hAnsi="宋体" w:eastAsia="宋体" w:cs="宋体"/>
          <w:bCs/>
          <w:color w:val="auto"/>
          <w:sz w:val="28"/>
          <w:szCs w:val="28"/>
          <w:highlight w:val="none"/>
        </w:rPr>
        <w:t>。投标有效期比规定短的将被视为非响应性投标而予以拒绝。</w:t>
      </w:r>
    </w:p>
    <w:p w14:paraId="4BF74739">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4.投标有效期的延长</w:t>
      </w:r>
    </w:p>
    <w:p w14:paraId="2F2968AF">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4.1在特殊情况下，代理机构于原投标有效期满之前，可向投标人提出延长投标有效期的要求。这种要求与答复均应采用书面形式。投标人可以拒绝代理机构的这一要求而放弃投标，同意延长投标有效期的投标人既不能要求也不允许修改其投标文件。</w:t>
      </w:r>
      <w:r>
        <w:rPr>
          <w:rFonts w:hint="eastAsia" w:ascii="宋体" w:hAnsi="宋体" w:eastAsia="宋体" w:cs="宋体"/>
          <w:color w:val="auto"/>
          <w:sz w:val="28"/>
          <w:szCs w:val="28"/>
          <w:highlight w:val="none"/>
        </w:rPr>
        <w:t>受投标有效期约束的所有权利与义务均延长至新的有效期</w:t>
      </w:r>
      <w:r>
        <w:rPr>
          <w:rFonts w:hint="eastAsia" w:ascii="宋体" w:hAnsi="宋体" w:eastAsia="宋体" w:cs="宋体"/>
          <w:bCs/>
          <w:color w:val="auto"/>
          <w:sz w:val="28"/>
          <w:szCs w:val="28"/>
          <w:highlight w:val="none"/>
        </w:rPr>
        <w:t>。</w:t>
      </w:r>
    </w:p>
    <w:p w14:paraId="34591FA9">
      <w:pPr>
        <w:pStyle w:val="5"/>
        <w:adjustRightInd w:val="0"/>
        <w:snapToGrid w:val="0"/>
        <w:spacing w:line="420" w:lineRule="exact"/>
        <w:ind w:firstLine="560" w:firstLineChars="20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5.投标人资格要求</w:t>
      </w:r>
    </w:p>
    <w:p w14:paraId="68558654">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5.1投标人应具备承担本项目的资格要求。</w:t>
      </w:r>
    </w:p>
    <w:p w14:paraId="0EA195D6">
      <w:pPr>
        <w:pStyle w:val="4"/>
        <w:adjustRightInd w:val="0"/>
        <w:snapToGrid w:val="0"/>
        <w:spacing w:before="0" w:after="0" w:line="420" w:lineRule="exact"/>
        <w:ind w:firstLine="562" w:firstLineChars="200"/>
        <w:rPr>
          <w:rFonts w:hint="eastAsia" w:ascii="宋体" w:hAnsi="宋体" w:eastAsia="宋体" w:cs="宋体"/>
          <w:color w:val="auto"/>
          <w:sz w:val="28"/>
          <w:szCs w:val="28"/>
          <w:highlight w:val="none"/>
        </w:rPr>
      </w:pPr>
      <w:bookmarkStart w:id="59" w:name="_Hlt26954852"/>
      <w:bookmarkEnd w:id="59"/>
      <w:bookmarkStart w:id="60" w:name="_Hlt26954739"/>
      <w:bookmarkEnd w:id="60"/>
      <w:bookmarkStart w:id="61" w:name="_Toc16938540"/>
      <w:bookmarkStart w:id="62" w:name="_Toc20823296"/>
      <w:bookmarkStart w:id="63" w:name="_Toc120614217"/>
      <w:bookmarkStart w:id="64" w:name="_Toc513029224"/>
      <w:r>
        <w:rPr>
          <w:rFonts w:hint="eastAsia" w:ascii="宋体" w:hAnsi="宋体" w:eastAsia="宋体" w:cs="宋体"/>
          <w:color w:val="auto"/>
          <w:sz w:val="28"/>
          <w:szCs w:val="28"/>
          <w:highlight w:val="none"/>
        </w:rPr>
        <w:t>四、投标文件的递交</w:t>
      </w:r>
      <w:bookmarkEnd w:id="61"/>
      <w:bookmarkEnd w:id="62"/>
      <w:bookmarkEnd w:id="63"/>
      <w:bookmarkEnd w:id="64"/>
    </w:p>
    <w:p w14:paraId="3FFC8D49">
      <w:pPr>
        <w:adjustRightInd w:val="0"/>
        <w:snapToGrid w:val="0"/>
        <w:spacing w:line="420" w:lineRule="exact"/>
        <w:ind w:firstLine="560" w:firstLineChars="200"/>
        <w:rPr>
          <w:rFonts w:hint="eastAsia" w:ascii="宋体" w:hAnsi="宋体" w:eastAsia="宋体" w:cs="宋体"/>
          <w:color w:val="auto"/>
          <w:kern w:val="0"/>
          <w:sz w:val="28"/>
          <w:szCs w:val="28"/>
          <w:highlight w:val="none"/>
        </w:rPr>
      </w:pPr>
      <w:bookmarkStart w:id="65" w:name="_Toc16938542"/>
      <w:bookmarkStart w:id="66" w:name="_Toc513029226"/>
      <w:bookmarkStart w:id="67" w:name="_Toc20823298"/>
      <w:r>
        <w:rPr>
          <w:rFonts w:hint="eastAsia" w:ascii="宋体" w:hAnsi="宋体" w:eastAsia="宋体" w:cs="宋体"/>
          <w:color w:val="auto"/>
          <w:kern w:val="0"/>
          <w:sz w:val="28"/>
          <w:szCs w:val="28"/>
          <w:highlight w:val="none"/>
        </w:rPr>
        <w:t>1.投标文件的组成</w:t>
      </w:r>
    </w:p>
    <w:p w14:paraId="796D931C">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1.1纸质投标文件分资格审查文件、商务技术文件、价格文件三部分内容。每一部分内容均须提供“一份正本、一份副本”纸质响应文件，须分别单独牢固装订，不得相互混淆，文件自编目录并连续标注页码，不得将内容拆开。价格文件不得出现于资格审查文件和商务技术文件中。</w:t>
      </w:r>
    </w:p>
    <w:p w14:paraId="0A47CDFF">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1.2纸质响应文件分三个密封袋（箱）提交。其中：</w:t>
      </w:r>
    </w:p>
    <w:p w14:paraId="7AC80367">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资格审查文件的正、副本纸质响应文件密封在一个单独的密封袋内；</w:t>
      </w:r>
    </w:p>
    <w:p w14:paraId="4B428C36">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商务技术文件的正、副本纸质响应文件及图纸类（如需提供图纸等其它资料的话）等密封在一个单独的密封袋或密封箱内（如有A3大小的图纸类，可单独密封）；</w:t>
      </w:r>
    </w:p>
    <w:p w14:paraId="6AEAAB94">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价格文件的正、副本纸质响应文件密封在一个单独的密封袋内。</w:t>
      </w:r>
    </w:p>
    <w:p w14:paraId="1BD85F96">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1.3纸质投标文件须采用A4纸（图纸等除外），正、副本须打印并由法定代表人或授权人签字并加盖单位印章。文件内容中不得行间插字、涂改、增删，如修补错漏处，须由投标文件签署人签字并加盖公章。</w:t>
      </w:r>
    </w:p>
    <w:p w14:paraId="2506D726">
      <w:pPr>
        <w:adjustRightInd w:val="0"/>
        <w:snapToGrid w:val="0"/>
        <w:spacing w:line="42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注：凡是响应文件中涉及</w:t>
      </w:r>
      <w:r>
        <w:rPr>
          <w:rFonts w:hint="eastAsia" w:ascii="宋体" w:hAnsi="宋体" w:cs="宋体"/>
          <w:b/>
          <w:bCs/>
          <w:color w:val="auto"/>
          <w:kern w:val="0"/>
          <w:sz w:val="28"/>
          <w:szCs w:val="28"/>
          <w:highlight w:val="none"/>
          <w:lang w:val="en-US" w:eastAsia="zh-CN"/>
        </w:rPr>
        <w:t>投标人</w:t>
      </w:r>
      <w:r>
        <w:rPr>
          <w:rFonts w:hint="eastAsia" w:ascii="宋体" w:hAnsi="宋体" w:eastAsia="宋体" w:cs="宋体"/>
          <w:b/>
          <w:bCs/>
          <w:color w:val="auto"/>
          <w:kern w:val="0"/>
          <w:sz w:val="28"/>
          <w:szCs w:val="28"/>
          <w:highlight w:val="none"/>
        </w:rPr>
        <w:t>资信认证、人员证书、业绩荣誉等复印件，和要求法定代表人或授权委托人签字，和以</w:t>
      </w:r>
      <w:r>
        <w:rPr>
          <w:rFonts w:hint="eastAsia" w:ascii="宋体" w:hAnsi="宋体" w:cs="宋体"/>
          <w:b/>
          <w:bCs/>
          <w:color w:val="auto"/>
          <w:kern w:val="0"/>
          <w:sz w:val="28"/>
          <w:szCs w:val="28"/>
          <w:highlight w:val="none"/>
          <w:lang w:val="en-US" w:eastAsia="zh-CN"/>
        </w:rPr>
        <w:t>投标人</w:t>
      </w:r>
      <w:r>
        <w:rPr>
          <w:rFonts w:hint="eastAsia" w:ascii="宋体" w:hAnsi="宋体" w:eastAsia="宋体" w:cs="宋体"/>
          <w:b/>
          <w:bCs/>
          <w:color w:val="auto"/>
          <w:kern w:val="0"/>
          <w:sz w:val="28"/>
          <w:szCs w:val="28"/>
          <w:highlight w:val="none"/>
        </w:rPr>
        <w:t>名称落款并注明需要盖章的，均需相应盖章或签字。否则视为未按照</w:t>
      </w:r>
      <w:r>
        <w:rPr>
          <w:rFonts w:hint="eastAsia" w:ascii="宋体" w:hAnsi="宋体" w:cs="宋体"/>
          <w:b/>
          <w:bCs/>
          <w:color w:val="auto"/>
          <w:kern w:val="0"/>
          <w:sz w:val="28"/>
          <w:szCs w:val="28"/>
          <w:highlight w:val="none"/>
          <w:lang w:eastAsia="zh-CN"/>
        </w:rPr>
        <w:t>招标文件</w:t>
      </w:r>
      <w:r>
        <w:rPr>
          <w:rFonts w:hint="eastAsia" w:ascii="宋体" w:hAnsi="宋体" w:eastAsia="宋体" w:cs="宋体"/>
          <w:b/>
          <w:bCs/>
          <w:color w:val="auto"/>
          <w:kern w:val="0"/>
          <w:sz w:val="28"/>
          <w:szCs w:val="28"/>
          <w:highlight w:val="none"/>
        </w:rPr>
        <w:t>要求盖章或签字。</w:t>
      </w:r>
    </w:p>
    <w:p w14:paraId="37E974DB">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1.4.电子投标文件（一份，单独密封提交）</w:t>
      </w:r>
    </w:p>
    <w:p w14:paraId="49147193">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项目要求提供电子响应文件一份，电子响应文件的内容为资格审查文件、商务技术文件、价格文件文件打印盖章（或电子签章）后的响应文件的扫描件（资格审查文件、商务技术文件、价格文件需分别逐页连续扫描为三个独立的PDF文件），可以采取U盘、电子光盘两种方式中任意一种方式提交，需单独密封提交。</w:t>
      </w:r>
    </w:p>
    <w:p w14:paraId="5C8E48C2">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电子响应文件内容应与提交的纸质响应文件内容一致。否则，由此产生的后果投标人自负。</w:t>
      </w:r>
    </w:p>
    <w:p w14:paraId="3BEA9802">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1.5响应文件密封后应标明响应文件项目名称、项目编号、边缝处加盖单位骑缝章或骑缝签字等关键信息，</w:t>
      </w:r>
      <w:r>
        <w:rPr>
          <w:rFonts w:hint="eastAsia" w:ascii="宋体" w:hAnsi="宋体" w:eastAsia="宋体" w:cs="宋体"/>
          <w:b/>
          <w:bCs/>
          <w:color w:val="auto"/>
          <w:kern w:val="0"/>
          <w:sz w:val="28"/>
          <w:szCs w:val="28"/>
          <w:highlight w:val="none"/>
        </w:rPr>
        <w:t>密封完好以不泄露投标文件内容为主要判断依据</w:t>
      </w:r>
      <w:r>
        <w:rPr>
          <w:rFonts w:hint="eastAsia" w:ascii="宋体" w:hAnsi="宋体" w:eastAsia="宋体" w:cs="宋体"/>
          <w:color w:val="auto"/>
          <w:kern w:val="0"/>
          <w:sz w:val="28"/>
          <w:szCs w:val="28"/>
          <w:highlight w:val="none"/>
        </w:rPr>
        <w:t>。</w:t>
      </w:r>
    </w:p>
    <w:p w14:paraId="59A31F0A">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1.6递交时间：</w:t>
      </w:r>
      <w:r>
        <w:rPr>
          <w:rFonts w:hint="eastAsia" w:ascii="宋体" w:hAnsi="宋体" w:cs="宋体"/>
          <w:color w:val="auto"/>
          <w:kern w:val="0"/>
          <w:sz w:val="28"/>
          <w:szCs w:val="28"/>
          <w:highlight w:val="none"/>
          <w:lang w:val="en-US" w:eastAsia="zh-CN"/>
        </w:rPr>
        <w:t>投标人</w:t>
      </w:r>
      <w:r>
        <w:rPr>
          <w:rFonts w:hint="eastAsia" w:ascii="宋体" w:hAnsi="宋体" w:eastAsia="宋体" w:cs="宋体"/>
          <w:color w:val="auto"/>
          <w:kern w:val="0"/>
          <w:sz w:val="28"/>
          <w:szCs w:val="28"/>
          <w:highlight w:val="none"/>
        </w:rPr>
        <w:t>须在规定的响应文件接收截止时间前送达指定地点。</w:t>
      </w:r>
      <w:r>
        <w:rPr>
          <w:rFonts w:hint="eastAsia" w:ascii="宋体" w:hAnsi="宋体" w:cs="宋体"/>
          <w:color w:val="auto"/>
          <w:kern w:val="0"/>
          <w:sz w:val="28"/>
          <w:szCs w:val="28"/>
          <w:highlight w:val="none"/>
          <w:lang w:val="en-US" w:eastAsia="zh-CN"/>
        </w:rPr>
        <w:t>投标人</w:t>
      </w:r>
      <w:r>
        <w:rPr>
          <w:rFonts w:hint="eastAsia" w:ascii="宋体" w:hAnsi="宋体" w:eastAsia="宋体" w:cs="宋体"/>
          <w:color w:val="auto"/>
          <w:kern w:val="0"/>
          <w:sz w:val="28"/>
          <w:szCs w:val="28"/>
          <w:highlight w:val="none"/>
        </w:rPr>
        <w:t>提交投标文件，即视为已响应参加政府采购活动。</w:t>
      </w:r>
    </w:p>
    <w:p w14:paraId="2AF44807">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kern w:val="0"/>
          <w:sz w:val="28"/>
          <w:szCs w:val="28"/>
          <w:highlight w:val="none"/>
        </w:rPr>
        <w:t>友情提醒：代理机构将拒绝接收未按照招标文件要求密封的响应文件，拒绝接收在响应文件接收截止时间后递交的响应文件。</w:t>
      </w:r>
    </w:p>
    <w:p w14:paraId="0539F794">
      <w:pPr>
        <w:adjustRightInd w:val="0"/>
        <w:snapToGrid w:val="0"/>
        <w:spacing w:line="42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2.投标截止日期</w:t>
      </w:r>
      <w:bookmarkEnd w:id="65"/>
      <w:bookmarkEnd w:id="66"/>
      <w:bookmarkEnd w:id="67"/>
    </w:p>
    <w:p w14:paraId="3ED87B7F">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2.1 </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提交响应文件的时间不得迟于招标公告中规定的响应文件提交截止时间。</w:t>
      </w:r>
    </w:p>
    <w:p w14:paraId="5FF941D0">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应充分考虑到交通路况、停车、疫情管控等风险因素，如因</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自身原因造成的投标响应文件提交不成功由</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自行承担全部责任。</w:t>
      </w:r>
    </w:p>
    <w:p w14:paraId="2B6B68B5">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2.2</w:t>
      </w:r>
      <w:r>
        <w:rPr>
          <w:rFonts w:hint="eastAsia" w:ascii="宋体" w:hAnsi="宋体" w:eastAsia="宋体" w:cs="宋体"/>
          <w:bCs/>
          <w:color w:val="auto"/>
          <w:sz w:val="28"/>
          <w:szCs w:val="28"/>
          <w:highlight w:val="none"/>
        </w:rPr>
        <w:t>代理机构可以按照规定，通过修改招标文件酌情延长投标截止日期，在此情况下，投标人的所有权利和义务以及投标人受制的截止日期均应以延长后新的截止日期为准。</w:t>
      </w:r>
    </w:p>
    <w:p w14:paraId="387D239E">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68" w:name="_Toc513029227"/>
      <w:bookmarkStart w:id="69" w:name="_Toc20823299"/>
      <w:bookmarkStart w:id="70" w:name="_Toc16938543"/>
      <w:r>
        <w:rPr>
          <w:rFonts w:hint="eastAsia" w:ascii="宋体" w:hAnsi="宋体" w:eastAsia="宋体" w:cs="宋体"/>
          <w:color w:val="auto"/>
          <w:sz w:val="28"/>
          <w:szCs w:val="28"/>
          <w:highlight w:val="none"/>
        </w:rPr>
        <w:t>3.投标文件</w:t>
      </w:r>
      <w:bookmarkEnd w:id="68"/>
      <w:bookmarkEnd w:id="69"/>
      <w:bookmarkEnd w:id="70"/>
      <w:r>
        <w:rPr>
          <w:rFonts w:hint="eastAsia" w:ascii="宋体" w:hAnsi="宋体" w:eastAsia="宋体" w:cs="宋体"/>
          <w:color w:val="auto"/>
          <w:sz w:val="28"/>
          <w:szCs w:val="28"/>
          <w:highlight w:val="none"/>
        </w:rPr>
        <w:t>的拒收</w:t>
      </w:r>
    </w:p>
    <w:p w14:paraId="1E5E20DC">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3.1 代理机构拒绝接收在其规定的投标截止时间后提交的任何投标文件。</w:t>
      </w:r>
    </w:p>
    <w:p w14:paraId="72790043">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71" w:name="_Toc513029228"/>
      <w:bookmarkStart w:id="72" w:name="_Toc16938544"/>
      <w:bookmarkStart w:id="73" w:name="_Toc20823300"/>
      <w:r>
        <w:rPr>
          <w:rFonts w:hint="eastAsia" w:ascii="宋体" w:hAnsi="宋体" w:eastAsia="宋体" w:cs="宋体"/>
          <w:color w:val="auto"/>
          <w:sz w:val="28"/>
          <w:szCs w:val="28"/>
          <w:highlight w:val="none"/>
        </w:rPr>
        <w:t>4.投标文件的撤回和修改</w:t>
      </w:r>
      <w:bookmarkEnd w:id="71"/>
      <w:bookmarkEnd w:id="72"/>
      <w:bookmarkEnd w:id="73"/>
    </w:p>
    <w:p w14:paraId="3287A1A5">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 响应文件的撤回</w:t>
      </w:r>
    </w:p>
    <w:p w14:paraId="72AE7AC8">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4.1.1</w:t>
      </w:r>
      <w:r>
        <w:rPr>
          <w:rFonts w:hint="eastAsia" w:ascii="宋体" w:hAnsi="宋体" w:cs="宋体"/>
          <w:bCs/>
          <w:color w:val="auto"/>
          <w:sz w:val="28"/>
          <w:szCs w:val="28"/>
          <w:highlight w:val="none"/>
          <w:lang w:val="en-US" w:eastAsia="zh-CN"/>
        </w:rPr>
        <w:t>投标人</w:t>
      </w:r>
      <w:r>
        <w:rPr>
          <w:rFonts w:hint="eastAsia" w:ascii="宋体" w:hAnsi="宋体" w:eastAsia="宋体" w:cs="宋体"/>
          <w:color w:val="auto"/>
          <w:sz w:val="28"/>
          <w:szCs w:val="28"/>
          <w:highlight w:val="none"/>
        </w:rPr>
        <w:t>可在响应文件提交截止时间前，书面撤回其投标响应文件。</w:t>
      </w:r>
    </w:p>
    <w:p w14:paraId="3738F07C">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4.1.2 投标人撤回投标文件，则认为其不再参与本项目投标活动。</w:t>
      </w:r>
    </w:p>
    <w:p w14:paraId="0180FEA1">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 投标文件的修改</w:t>
      </w:r>
    </w:p>
    <w:p w14:paraId="039555F4">
      <w:pPr>
        <w:pStyle w:val="4"/>
        <w:adjustRightInd w:val="0"/>
        <w:snapToGrid w:val="0"/>
        <w:spacing w:before="0" w:after="0" w:line="420" w:lineRule="exact"/>
        <w:ind w:firstLine="560" w:firstLineChars="200"/>
        <w:rPr>
          <w:rFonts w:hint="eastAsia" w:ascii="宋体" w:hAnsi="宋体" w:eastAsia="宋体" w:cs="宋体"/>
          <w:b w:val="0"/>
          <w:bCs w:val="0"/>
          <w:color w:val="auto"/>
          <w:sz w:val="28"/>
          <w:szCs w:val="28"/>
          <w:highlight w:val="none"/>
        </w:rPr>
      </w:pPr>
      <w:bookmarkStart w:id="74" w:name="_Toc16938545"/>
      <w:bookmarkStart w:id="75" w:name="_Toc513029229"/>
      <w:bookmarkStart w:id="76" w:name="_Toc20823301"/>
      <w:bookmarkStart w:id="77" w:name="_Toc120614218"/>
      <w:r>
        <w:rPr>
          <w:rFonts w:hint="eastAsia" w:ascii="宋体" w:hAnsi="宋体" w:eastAsia="宋体" w:cs="宋体"/>
          <w:b w:val="0"/>
          <w:bCs w:val="0"/>
          <w:color w:val="auto"/>
          <w:sz w:val="28"/>
          <w:szCs w:val="28"/>
          <w:highlight w:val="none"/>
        </w:rPr>
        <w:t>在响应文件提交截止时间之后，</w:t>
      </w:r>
      <w:r>
        <w:rPr>
          <w:rFonts w:hint="eastAsia" w:ascii="宋体" w:hAnsi="宋体" w:eastAsia="宋体" w:cs="宋体"/>
          <w:b w:val="0"/>
          <w:bCs w:val="0"/>
          <w:color w:val="auto"/>
          <w:sz w:val="28"/>
          <w:szCs w:val="28"/>
          <w:highlight w:val="none"/>
          <w:lang w:val="en-US" w:eastAsia="zh-CN"/>
        </w:rPr>
        <w:t>投标人</w:t>
      </w:r>
      <w:r>
        <w:rPr>
          <w:rFonts w:hint="eastAsia" w:ascii="宋体" w:hAnsi="宋体" w:eastAsia="宋体" w:cs="宋体"/>
          <w:b w:val="0"/>
          <w:bCs w:val="0"/>
          <w:color w:val="auto"/>
          <w:sz w:val="28"/>
          <w:szCs w:val="28"/>
          <w:highlight w:val="none"/>
        </w:rPr>
        <w:t>不得再对其提交的响应文件进行修改。</w:t>
      </w:r>
    </w:p>
    <w:p w14:paraId="6993E213">
      <w:pPr>
        <w:pStyle w:val="4"/>
        <w:adjustRightInd w:val="0"/>
        <w:snapToGrid w:val="0"/>
        <w:spacing w:before="0" w:after="0" w:line="42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五、开标与评标</w:t>
      </w:r>
      <w:bookmarkEnd w:id="74"/>
      <w:bookmarkEnd w:id="75"/>
      <w:bookmarkEnd w:id="76"/>
      <w:bookmarkEnd w:id="77"/>
    </w:p>
    <w:p w14:paraId="251FDB63">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78" w:name="_Toc513029230"/>
      <w:bookmarkStart w:id="79" w:name="_Toc16938546"/>
      <w:bookmarkStart w:id="80" w:name="_Toc20823302"/>
      <w:r>
        <w:rPr>
          <w:rFonts w:hint="eastAsia" w:ascii="宋体" w:hAnsi="宋体" w:eastAsia="宋体" w:cs="宋体"/>
          <w:color w:val="auto"/>
          <w:sz w:val="28"/>
          <w:szCs w:val="28"/>
          <w:highlight w:val="none"/>
        </w:rPr>
        <w:t>1开标</w:t>
      </w:r>
      <w:bookmarkEnd w:id="78"/>
      <w:bookmarkEnd w:id="79"/>
      <w:bookmarkEnd w:id="80"/>
    </w:p>
    <w:p w14:paraId="23169A03">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1.1 代理机构将在招标公告中规定的时间和地点组织公开开标。投标人应当按时在指定地点参加开标活动。</w:t>
      </w:r>
    </w:p>
    <w:p w14:paraId="2E7A077D">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1.2开标仪</w:t>
      </w:r>
      <w:r>
        <w:rPr>
          <w:rFonts w:hint="eastAsia" w:ascii="宋体" w:hAnsi="宋体" w:eastAsia="宋体" w:cs="宋体"/>
          <w:color w:val="auto"/>
          <w:sz w:val="28"/>
          <w:szCs w:val="28"/>
          <w:highlight w:val="none"/>
        </w:rPr>
        <w:t>式由代理机构组织。</w:t>
      </w:r>
    </w:p>
    <w:p w14:paraId="2ED0324F">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81" w:name="_Toc513029231"/>
      <w:bookmarkStart w:id="82" w:name="_Toc20823303"/>
      <w:bookmarkStart w:id="83" w:name="_Toc16938547"/>
      <w:r>
        <w:rPr>
          <w:rFonts w:hint="eastAsia" w:ascii="宋体" w:hAnsi="宋体" w:eastAsia="宋体" w:cs="宋体"/>
          <w:color w:val="auto"/>
          <w:sz w:val="28"/>
          <w:szCs w:val="28"/>
          <w:highlight w:val="none"/>
        </w:rPr>
        <w:t>2评标委员会</w:t>
      </w:r>
    </w:p>
    <w:p w14:paraId="37BEE34C">
      <w:pPr>
        <w:adjustRightInd w:val="0"/>
        <w:snapToGrid w:val="0"/>
        <w:spacing w:line="42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2.1开标后，代理机构将立即组织评标委员会（以下简称评委会）进行评标。</w:t>
      </w:r>
    </w:p>
    <w:p w14:paraId="7ECD9243">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 评委会由招标人代表和有关技术、经济等方面的专家组成，且人员构成符合政府采购有关规定。</w:t>
      </w:r>
    </w:p>
    <w:p w14:paraId="08F0F98D">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2.3评委会独立工作，负责评审所有投标文件并确定中标侯选人。</w:t>
      </w:r>
    </w:p>
    <w:p w14:paraId="54217191">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3.评标过程的保密与公正</w:t>
      </w:r>
    </w:p>
    <w:bookmarkEnd w:id="81"/>
    <w:bookmarkEnd w:id="82"/>
    <w:bookmarkEnd w:id="83"/>
    <w:p w14:paraId="2EB1AF9F">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3.1</w:t>
      </w:r>
      <w:r>
        <w:rPr>
          <w:rFonts w:hint="eastAsia" w:ascii="宋体" w:hAnsi="宋体" w:eastAsia="宋体" w:cs="宋体"/>
          <w:bCs/>
          <w:color w:val="auto"/>
          <w:sz w:val="28"/>
          <w:szCs w:val="28"/>
          <w:highlight w:val="none"/>
        </w:rPr>
        <w:t>公开开标后，直至向中标的投标人授予合同时止，凡是与审查、澄清、评价和比较投标的有关资料以及授标建议等，招标人、评委、代理机构均不得向投标人或与评标无关的其他人员透露。</w:t>
      </w:r>
    </w:p>
    <w:p w14:paraId="12BDD8C2">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3.2在评标过程中，投标人不得以任何行为影响评标过程，否则其投标文件将被作为无效投标文件。</w:t>
      </w:r>
    </w:p>
    <w:p w14:paraId="01BAFEC0">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3.3在评标期间，代理机构将设专门人员与投标人联系。</w:t>
      </w:r>
    </w:p>
    <w:p w14:paraId="27D83F92">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3.4 代理机构和评标委员会不向未中标的投标人解释未中标原因，也不公布评标过程中的相关细节。</w:t>
      </w:r>
    </w:p>
    <w:p w14:paraId="4214C291">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3.5 采用综合评分法的项目，公布评标结果时一并公布所有投标人的评审得分及排序情况。</w:t>
      </w:r>
    </w:p>
    <w:p w14:paraId="600EC48F">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84" w:name="_Toc20823304"/>
      <w:bookmarkStart w:id="85" w:name="_Toc513029232"/>
      <w:bookmarkStart w:id="86" w:name="_Toc16938548"/>
      <w:r>
        <w:rPr>
          <w:rFonts w:hint="eastAsia" w:ascii="宋体" w:hAnsi="宋体" w:eastAsia="宋体" w:cs="宋体"/>
          <w:color w:val="auto"/>
          <w:sz w:val="28"/>
          <w:szCs w:val="28"/>
          <w:highlight w:val="none"/>
        </w:rPr>
        <w:t>4.投标的澄清</w:t>
      </w:r>
      <w:bookmarkEnd w:id="84"/>
      <w:bookmarkEnd w:id="85"/>
      <w:bookmarkEnd w:id="86"/>
    </w:p>
    <w:p w14:paraId="17E2044A">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4.1评标期间，为有助于对投标文件的审查、评价和比较，评委会有权要求投标人对其投标文件进行澄清，但并非对每个投标人都作澄清要求。</w:t>
      </w:r>
    </w:p>
    <w:p w14:paraId="7BA8D541">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4.2接到评委会澄清要求的投标人应按评委会规定的时间和格式做出澄清，澄清的内容作为投标文件的补充部分，但投标的价格和实质性的内容不得做任何更改。</w:t>
      </w:r>
    </w:p>
    <w:p w14:paraId="118ECACE">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4.3 接到评委会澄清要求的投标人如未按规定做出澄清，其风险由投标人自行承担。</w:t>
      </w:r>
    </w:p>
    <w:p w14:paraId="1FE1A5E4">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bookmarkStart w:id="87" w:name="_Toc16938549"/>
      <w:bookmarkStart w:id="88" w:name="_Toc20823305"/>
      <w:bookmarkStart w:id="89" w:name="_Toc513029233"/>
      <w:r>
        <w:rPr>
          <w:rFonts w:hint="eastAsia" w:ascii="宋体" w:hAnsi="宋体" w:eastAsia="宋体" w:cs="宋体"/>
          <w:color w:val="auto"/>
          <w:sz w:val="28"/>
          <w:szCs w:val="28"/>
          <w:highlight w:val="none"/>
        </w:rPr>
        <w:t>5对投标文件的初审</w:t>
      </w:r>
      <w:bookmarkEnd w:id="87"/>
      <w:bookmarkEnd w:id="88"/>
      <w:bookmarkEnd w:id="89"/>
    </w:p>
    <w:p w14:paraId="2E5AE370">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5.1</w:t>
      </w:r>
      <w:r>
        <w:rPr>
          <w:rFonts w:hint="eastAsia" w:ascii="宋体" w:hAnsi="宋体" w:eastAsia="宋体" w:cs="宋体"/>
          <w:bCs/>
          <w:color w:val="auto"/>
          <w:sz w:val="28"/>
          <w:szCs w:val="28"/>
          <w:highlight w:val="none"/>
        </w:rPr>
        <w:t>投标文件初审分为资格审查和符合性审查。</w:t>
      </w:r>
    </w:p>
    <w:p w14:paraId="0281B65A">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5.1.1 资格审查：依据法律法规和招标文件的规定，由招标人对投标文件中的资格证明文件进行审查。</w:t>
      </w:r>
    </w:p>
    <w:p w14:paraId="53168DDB">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5.1.2 符合性审查：依据招标文件的规定，由评委会从投标文件的有效性、完整性和对招标文件的响应程度进行审查，以确定是否对招标文件的实质性要求作出响应。</w:t>
      </w:r>
    </w:p>
    <w:p w14:paraId="7C367558">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5.1.3 未通过资格审查或符合性审查的投标人，代理机构将告知未通过资格审查或符合性审查的原因。</w:t>
      </w:r>
    </w:p>
    <w:p w14:paraId="20BD5A18">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5.2在详细评标之前，评委会将首先审查每份投标文件是否实质性响应了招标文件的要求。实质性响应的投标应该是与招标文件要求的全部条款、条件和规格相符，没有重大偏离或保留的投标。</w:t>
      </w:r>
    </w:p>
    <w:p w14:paraId="160CE29D">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所谓重大偏离或保留是指与招标文件规定的实质性要求存在负偏离，或者在实质上与招标文件不一致，而且限制了合同中买方和见证方的权利或投标人的义务，纠正这些偏离或保留将会对其他实质性响应要求的投标人的竞争地位产生不公正的影响。重大偏离的认定需经过评委会以少数服从多数的原则作出结论。</w:t>
      </w:r>
      <w:r>
        <w:rPr>
          <w:rFonts w:hint="eastAsia" w:ascii="宋体" w:hAnsi="宋体" w:eastAsia="宋体" w:cs="宋体"/>
          <w:bCs/>
          <w:color w:val="auto"/>
          <w:sz w:val="28"/>
          <w:szCs w:val="28"/>
          <w:highlight w:val="none"/>
        </w:rPr>
        <w:t>评委决定投标文件的响应性只根据投标文件本身的内容，而不寻求外部的证据。</w:t>
      </w:r>
    </w:p>
    <w:p w14:paraId="548FBE6B">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5.3</w:t>
      </w:r>
      <w:r>
        <w:rPr>
          <w:rFonts w:hint="eastAsia" w:ascii="宋体" w:hAnsi="宋体" w:eastAsia="宋体" w:cs="宋体"/>
          <w:bCs/>
          <w:color w:val="auto"/>
          <w:sz w:val="28"/>
          <w:szCs w:val="28"/>
          <w:highlight w:val="none"/>
        </w:rPr>
        <w:t>如果投标文件实质上没有响应招标文件的要求，评委会将予以拒绝，投标人不得通过修改或撤销不合要求的偏离或保留而使其投标成为实质性响应的投标。</w:t>
      </w:r>
    </w:p>
    <w:p w14:paraId="09C92E17">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5.4</w:t>
      </w:r>
      <w:r>
        <w:rPr>
          <w:rFonts w:hint="eastAsia" w:ascii="宋体" w:hAnsi="宋体" w:eastAsia="宋体" w:cs="宋体"/>
          <w:bCs/>
          <w:color w:val="auto"/>
          <w:sz w:val="28"/>
          <w:szCs w:val="28"/>
          <w:highlight w:val="none"/>
        </w:rPr>
        <w:t>评委会将对确定为实质性响应的投标进行进一步审核，看其是否有计算上或累加上的算术错误，修正错误的原则如下：</w:t>
      </w:r>
    </w:p>
    <w:p w14:paraId="227F941B">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（1）投标文件中开标一览表内容与投标文件中相应内容不一致的，以开标一览表为准。</w:t>
      </w:r>
    </w:p>
    <w:p w14:paraId="6780CCE1">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（2）大写金额和小写金额不一致的，以大写金额为准。</w:t>
      </w:r>
    </w:p>
    <w:p w14:paraId="7610AF14">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（3）单价金额小数点或者百分比有明显错位的，以开标一览表的总价为准，并修改单价。</w:t>
      </w:r>
    </w:p>
    <w:p w14:paraId="7753DB73">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（4）总价金额与按单价汇总金额不一致的，以单价金额计算结果为准。</w:t>
      </w:r>
    </w:p>
    <w:p w14:paraId="2FA6D04B">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同时出现两种以上错误的，按照前款规定的顺序修正。</w:t>
      </w:r>
    </w:p>
    <w:p w14:paraId="6638092D">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5.5</w:t>
      </w:r>
      <w:r>
        <w:rPr>
          <w:rFonts w:hint="eastAsia" w:ascii="宋体" w:hAnsi="宋体" w:eastAsia="宋体" w:cs="宋体"/>
          <w:bCs/>
          <w:color w:val="auto"/>
          <w:sz w:val="28"/>
          <w:szCs w:val="28"/>
          <w:highlight w:val="none"/>
        </w:rPr>
        <w:t>评委会将按上述修正错误的方法调整投标文件中的投标报价，并告知投标人，调整后的价格应对投标人具有约束力。如果投标人不接受修正后的价格，则其投标将被拒绝。</w:t>
      </w:r>
    </w:p>
    <w:p w14:paraId="5BB69127">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5.6</w:t>
      </w:r>
      <w:r>
        <w:rPr>
          <w:rFonts w:hint="eastAsia" w:ascii="宋体" w:hAnsi="宋体" w:eastAsia="宋体" w:cs="宋体"/>
          <w:bCs/>
          <w:color w:val="auto"/>
          <w:sz w:val="28"/>
          <w:szCs w:val="28"/>
          <w:highlight w:val="none"/>
        </w:rPr>
        <w:t>评委会将允许修正投标文件中不构成重大偏离的、微小的、非正规的、不一致的或不规则的地方，但这些修改不能影响任何投标人相应的名次排列。</w:t>
      </w:r>
    </w:p>
    <w:p w14:paraId="674CAEC6">
      <w:pPr>
        <w:adjustRightInd w:val="0"/>
        <w:snapToGrid w:val="0"/>
        <w:spacing w:line="420" w:lineRule="exact"/>
        <w:ind w:firstLine="560" w:firstLineChars="200"/>
        <w:rPr>
          <w:rFonts w:hint="eastAsia" w:ascii="宋体" w:hAnsi="宋体" w:eastAsia="宋体" w:cs="宋体"/>
          <w:color w:val="auto"/>
          <w:sz w:val="28"/>
          <w:szCs w:val="28"/>
          <w:highlight w:val="none"/>
        </w:rPr>
      </w:pPr>
      <w:bookmarkStart w:id="90" w:name="_Toc20823306"/>
      <w:bookmarkStart w:id="91" w:name="_Toc513029234"/>
      <w:bookmarkStart w:id="92" w:name="_Toc16938550"/>
      <w:r>
        <w:rPr>
          <w:rFonts w:hint="eastAsia" w:ascii="宋体" w:hAnsi="宋体" w:eastAsia="宋体" w:cs="宋体"/>
          <w:color w:val="auto"/>
          <w:sz w:val="28"/>
          <w:szCs w:val="28"/>
          <w:highlight w:val="none"/>
        </w:rPr>
        <w:t>5.7投标人在开、评标全过程中应保持通讯畅通，并安排专人与代理机构及评标委员会联系。</w:t>
      </w:r>
    </w:p>
    <w:bookmarkEnd w:id="90"/>
    <w:bookmarkEnd w:id="91"/>
    <w:bookmarkEnd w:id="92"/>
    <w:p w14:paraId="44D65C77">
      <w:pPr>
        <w:pStyle w:val="5"/>
        <w:adjustRightInd w:val="0"/>
        <w:snapToGrid w:val="0"/>
        <w:spacing w:line="420" w:lineRule="exact"/>
        <w:ind w:firstLine="560" w:firstLineChars="200"/>
        <w:jc w:val="both"/>
        <w:rPr>
          <w:rFonts w:hint="eastAsia" w:ascii="宋体" w:hAnsi="宋体" w:eastAsia="宋体" w:cs="宋体"/>
          <w:b/>
          <w:bCs/>
          <w:color w:val="auto"/>
          <w:sz w:val="28"/>
          <w:szCs w:val="28"/>
          <w:highlight w:val="none"/>
        </w:rPr>
      </w:pPr>
      <w:r>
        <w:rPr>
          <w:rFonts w:hint="eastAsia" w:ascii="宋体" w:hAnsi="宋体" w:eastAsia="宋体" w:cs="宋体"/>
          <w:color w:val="auto"/>
          <w:sz w:val="28"/>
          <w:szCs w:val="28"/>
          <w:highlight w:val="none"/>
        </w:rPr>
        <w:t>6.无效投标条款和废标条款</w:t>
      </w:r>
    </w:p>
    <w:p w14:paraId="12F042D0">
      <w:pPr>
        <w:tabs>
          <w:tab w:val="left" w:pos="6555"/>
          <w:tab w:val="right" w:pos="8306"/>
        </w:tabs>
        <w:adjustRightInd w:val="0"/>
        <w:snapToGrid w:val="0"/>
        <w:spacing w:line="420" w:lineRule="exact"/>
        <w:ind w:firstLine="560" w:firstLineChars="200"/>
        <w:rPr>
          <w:rFonts w:hint="eastAsia" w:ascii="宋体" w:hAnsi="宋体" w:eastAsia="宋体" w:cs="宋体"/>
          <w:b/>
          <w:color w:val="auto"/>
          <w:sz w:val="28"/>
          <w:szCs w:val="28"/>
          <w:highlight w:val="none"/>
        </w:rPr>
      </w:pPr>
      <w:bookmarkStart w:id="93" w:name="_Toc16938551"/>
      <w:bookmarkStart w:id="94" w:name="_Toc20823307"/>
      <w:bookmarkStart w:id="95" w:name="_Toc513029235"/>
      <w:r>
        <w:rPr>
          <w:rFonts w:hint="eastAsia" w:ascii="宋体" w:hAnsi="宋体" w:eastAsia="宋体" w:cs="宋体"/>
          <w:bCs/>
          <w:color w:val="auto"/>
          <w:sz w:val="28"/>
          <w:szCs w:val="28"/>
          <w:highlight w:val="none"/>
        </w:rPr>
        <w:t>6.1出现下列情形之一的，作无效响应处理。</w:t>
      </w:r>
      <w:r>
        <w:rPr>
          <w:rFonts w:hint="eastAsia" w:ascii="宋体" w:hAnsi="宋体" w:eastAsia="宋体" w:cs="宋体"/>
          <w:bCs/>
          <w:color w:val="auto"/>
          <w:sz w:val="28"/>
          <w:szCs w:val="28"/>
          <w:highlight w:val="none"/>
        </w:rPr>
        <w:tab/>
      </w:r>
      <w:r>
        <w:rPr>
          <w:rFonts w:hint="eastAsia" w:ascii="宋体" w:hAnsi="宋体" w:eastAsia="宋体" w:cs="宋体"/>
          <w:b/>
          <w:color w:val="auto"/>
          <w:sz w:val="28"/>
          <w:szCs w:val="28"/>
          <w:highlight w:val="none"/>
        </w:rPr>
        <w:tab/>
      </w:r>
    </w:p>
    <w:p w14:paraId="2E91EFFE">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6.1.1</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在规定的时间内未成功提交</w:t>
      </w:r>
      <w:r>
        <w:rPr>
          <w:rFonts w:hint="eastAsia" w:ascii="宋体" w:hAnsi="宋体" w:cs="宋体"/>
          <w:bCs/>
          <w:color w:val="auto"/>
          <w:sz w:val="28"/>
          <w:szCs w:val="28"/>
          <w:highlight w:val="none"/>
          <w:lang w:val="en-US" w:eastAsia="zh-CN"/>
        </w:rPr>
        <w:t>投标</w:t>
      </w:r>
      <w:r>
        <w:rPr>
          <w:rFonts w:hint="eastAsia" w:ascii="宋体" w:hAnsi="宋体" w:eastAsia="宋体" w:cs="宋体"/>
          <w:bCs/>
          <w:color w:val="auto"/>
          <w:sz w:val="28"/>
          <w:szCs w:val="28"/>
          <w:highlight w:val="none"/>
        </w:rPr>
        <w:t>文件的。</w:t>
      </w:r>
    </w:p>
    <w:p w14:paraId="6144ED75">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6.1.2未完整提交响应文件的。</w:t>
      </w:r>
    </w:p>
    <w:p w14:paraId="52BC459F">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6.1.3同一投标人提交两个（含两个）以上不同的响应报价的。</w:t>
      </w:r>
    </w:p>
    <w:p w14:paraId="2299705B">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6.1.4不具备招标文件中规定的资格要求的。 </w:t>
      </w:r>
    </w:p>
    <w:p w14:paraId="607C21D4">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6.1.5未通过符合性检查的。</w:t>
      </w:r>
    </w:p>
    <w:p w14:paraId="06729D28">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6.1.6不符合法律、法规和招标文件中规定的其他实质性要求的。</w:t>
      </w:r>
    </w:p>
    <w:p w14:paraId="4B465CDA">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6.1.7</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被 “信用中国”网站（www.creditchina.gov.cn）列入失信被执行人或重大税收违法案件当事人名单或采购严重失信行为记录名单，或查询“信用中国”网站后发现</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存在其他不符合合格投标人资格条件的信用记录。</w:t>
      </w:r>
    </w:p>
    <w:p w14:paraId="07A63D9B">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6.1.8响应文件含有招标人不能接受的附加条件的。</w:t>
      </w:r>
    </w:p>
    <w:p w14:paraId="17912FF7">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6.1.9评标小组认为投标人的报价明显低于其他通过符合性审查</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的报价，有可能影响产品质量或者不能诚信履约的，将要求其在合理的时间内提供说明，必要时提交相关证明材料；投标人不能证明其报价合理性的，评标小组应当将其作为无效响应处理。</w:t>
      </w:r>
    </w:p>
    <w:p w14:paraId="41E84B35">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6.1.10本项目采购产品被财政部、国家发改委、生态环境部等列入“节能产品品目清单”、“环境标志产品品目清单”强制采购范围，而</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所投标产品不在强制采购范围内的（所投产品如属于政府强制采购节能产品品目清单范围内，响应文件中必须提供国家确定的认证机构出具的、处于有效期之内的该节能产品认证证书图片）。</w:t>
      </w:r>
    </w:p>
    <w:p w14:paraId="57E5D185">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6.1.11响应文件未按照招标文件要求盖章、密封的。</w:t>
      </w:r>
    </w:p>
    <w:p w14:paraId="5CE7BA15">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6.1.12投标人的商务技术部分得分相差悬殊，评标委员会认为得分畸低者没有实质性响应的。</w:t>
      </w:r>
    </w:p>
    <w:p w14:paraId="733572BB">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6.1.13其他法律、法规及本招标文件规定的属无效响应的情形。</w:t>
      </w:r>
    </w:p>
    <w:p w14:paraId="61E3F4CC">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6.2废标条款：</w:t>
      </w:r>
    </w:p>
    <w:p w14:paraId="41A769D4">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6.2.1符合专业条件的</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或者对招标文件作实质响应的</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不足三家的。</w:t>
      </w:r>
    </w:p>
    <w:p w14:paraId="397E9048">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6.2.2出现影响采购公正的违法、违规行为的。</w:t>
      </w:r>
    </w:p>
    <w:p w14:paraId="2B60F0CC">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6.2.3因重大变故，采购任务取消的。</w:t>
      </w:r>
    </w:p>
    <w:p w14:paraId="10252C15">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6.2.4评标委员会认定招标文件存在歧义、重大缺陷导致评审工作无法进行。</w:t>
      </w:r>
    </w:p>
    <w:p w14:paraId="2979562B">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6.2.5 因系统故障原因造成开评标无法继续进行的（适用于不见面开标模式）。</w:t>
      </w:r>
    </w:p>
    <w:p w14:paraId="4E021E98">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6.3 投标截止时间结束后参加投标的</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不足三家的处理：</w:t>
      </w:r>
    </w:p>
    <w:p w14:paraId="29E345B1">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6.3.1如出现投标截止时间结束后参加投标的</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或者在评标期间对招标文件做出实质响应的</w:t>
      </w:r>
      <w:r>
        <w:rPr>
          <w:rFonts w:hint="eastAsia" w:ascii="宋体" w:hAnsi="宋体" w:cs="宋体"/>
          <w:bCs/>
          <w:color w:val="auto"/>
          <w:sz w:val="28"/>
          <w:szCs w:val="28"/>
          <w:highlight w:val="none"/>
          <w:lang w:val="en-US" w:eastAsia="zh-CN"/>
        </w:rPr>
        <w:t>投标人</w:t>
      </w:r>
      <w:r>
        <w:rPr>
          <w:rFonts w:hint="eastAsia" w:ascii="宋体" w:hAnsi="宋体" w:eastAsia="宋体" w:cs="宋体"/>
          <w:bCs/>
          <w:color w:val="auto"/>
          <w:sz w:val="28"/>
          <w:szCs w:val="28"/>
          <w:highlight w:val="none"/>
        </w:rPr>
        <w:t>不足三家情况，按政府采购相关规定执行。</w:t>
      </w:r>
    </w:p>
    <w:bookmarkEnd w:id="93"/>
    <w:bookmarkEnd w:id="94"/>
    <w:bookmarkEnd w:id="95"/>
    <w:p w14:paraId="05A6108A">
      <w:pPr>
        <w:pStyle w:val="4"/>
        <w:adjustRightInd w:val="0"/>
        <w:snapToGrid w:val="0"/>
        <w:spacing w:before="0" w:after="0" w:line="420" w:lineRule="exact"/>
        <w:ind w:firstLine="562" w:firstLineChars="200"/>
        <w:rPr>
          <w:rFonts w:hint="eastAsia" w:ascii="宋体" w:hAnsi="宋体" w:eastAsia="宋体" w:cs="宋体"/>
          <w:color w:val="auto"/>
          <w:sz w:val="28"/>
          <w:szCs w:val="28"/>
          <w:highlight w:val="none"/>
        </w:rPr>
      </w:pPr>
      <w:bookmarkStart w:id="96" w:name="_Toc120614219"/>
      <w:r>
        <w:rPr>
          <w:rFonts w:hint="eastAsia" w:ascii="宋体" w:hAnsi="宋体" w:eastAsia="宋体" w:cs="宋体"/>
          <w:color w:val="auto"/>
          <w:sz w:val="28"/>
          <w:szCs w:val="28"/>
          <w:highlight w:val="none"/>
        </w:rPr>
        <w:t>六、定标</w:t>
      </w:r>
      <w:bookmarkEnd w:id="96"/>
    </w:p>
    <w:p w14:paraId="3B54F5A5">
      <w:pPr>
        <w:pStyle w:val="5"/>
        <w:adjustRightInd w:val="0"/>
        <w:snapToGrid w:val="0"/>
        <w:spacing w:line="420" w:lineRule="exact"/>
        <w:ind w:firstLine="560" w:firstLineChars="200"/>
        <w:jc w:val="both"/>
        <w:rPr>
          <w:rFonts w:hint="eastAsia" w:ascii="宋体" w:hAnsi="宋体" w:eastAsia="宋体" w:cs="宋体"/>
          <w:b/>
          <w:color w:val="auto"/>
          <w:sz w:val="28"/>
          <w:szCs w:val="28"/>
          <w:highlight w:val="none"/>
        </w:rPr>
      </w:pPr>
      <w:bookmarkStart w:id="97" w:name="_Toc16938554"/>
      <w:bookmarkStart w:id="98" w:name="_Toc20823310"/>
      <w:r>
        <w:rPr>
          <w:rFonts w:hint="eastAsia" w:ascii="宋体" w:hAnsi="宋体" w:eastAsia="宋体" w:cs="宋体"/>
          <w:color w:val="auto"/>
          <w:sz w:val="28"/>
          <w:szCs w:val="28"/>
          <w:highlight w:val="none"/>
        </w:rPr>
        <w:t>1.确定</w:t>
      </w:r>
      <w:bookmarkEnd w:id="97"/>
      <w:bookmarkEnd w:id="98"/>
      <w:r>
        <w:rPr>
          <w:rFonts w:hint="eastAsia" w:ascii="宋体" w:hAnsi="宋体" w:eastAsia="宋体" w:cs="宋体"/>
          <w:color w:val="auto"/>
          <w:sz w:val="28"/>
          <w:szCs w:val="28"/>
          <w:highlight w:val="none"/>
        </w:rPr>
        <w:t>中标单位</w:t>
      </w:r>
    </w:p>
    <w:p w14:paraId="3DBBCC5B">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1.1中标候选人的选取原则和数量见招标文件第四部分规定。 </w:t>
      </w:r>
    </w:p>
    <w:p w14:paraId="68F76145">
      <w:pPr>
        <w:adjustRightInd w:val="0"/>
        <w:snapToGrid w:val="0"/>
        <w:spacing w:line="42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1.2招标人授权评委会在中标候选人中直接确定中标人。</w:t>
      </w:r>
    </w:p>
    <w:p w14:paraId="5282A155">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1.3</w:t>
      </w:r>
      <w:r>
        <w:rPr>
          <w:rFonts w:hint="eastAsia" w:ascii="宋体" w:hAnsi="宋体" w:eastAsia="宋体" w:cs="宋体"/>
          <w:color w:val="auto"/>
          <w:sz w:val="28"/>
          <w:szCs w:val="28"/>
          <w:highlight w:val="none"/>
        </w:rPr>
        <w:t>代理机构将在“江苏航运职业技术学院网站”发布中标公告，公告期限为1个工作日。</w:t>
      </w:r>
    </w:p>
    <w:p w14:paraId="18DC5B42">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1.4若有充分证据证明，中标人出现下列情况之一的，一经查实，将被取消中标资格：</w:t>
      </w:r>
    </w:p>
    <w:p w14:paraId="188129AF">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1.4.1提供虚假材料谋取中标的。</w:t>
      </w:r>
    </w:p>
    <w:p w14:paraId="283CEA8B">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1.4.2向招标人、代理机构行贿或者提供其他不正当利益的。</w:t>
      </w:r>
    </w:p>
    <w:p w14:paraId="26F35089">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1.4.3恶意竞争，投标总报价明显低于其自身合理成本且又无法提供证明的。</w:t>
      </w:r>
    </w:p>
    <w:p w14:paraId="74AE6709">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1.4.4属于本文件规定的无效条件，但在评标过程中又未被评委会发现的。</w:t>
      </w:r>
    </w:p>
    <w:p w14:paraId="3D0AF4F6">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1.4.5与招标人或者其他</w:t>
      </w:r>
      <w:r>
        <w:rPr>
          <w:rFonts w:hint="eastAsia" w:ascii="宋体" w:hAnsi="宋体" w:cs="宋体"/>
          <w:bCs/>
          <w:color w:val="auto"/>
          <w:sz w:val="28"/>
          <w:szCs w:val="28"/>
          <w:highlight w:val="none"/>
          <w:lang w:val="en-US" w:eastAsia="zh-CN"/>
        </w:rPr>
        <w:t>投标人</w:t>
      </w:r>
      <w:r>
        <w:rPr>
          <w:rFonts w:hint="eastAsia" w:ascii="宋体" w:hAnsi="宋体" w:eastAsia="宋体" w:cs="宋体"/>
          <w:color w:val="auto"/>
          <w:sz w:val="28"/>
          <w:szCs w:val="28"/>
          <w:highlight w:val="none"/>
        </w:rPr>
        <w:t>恶意串通的。</w:t>
      </w:r>
    </w:p>
    <w:p w14:paraId="25DD265B">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1.4.6采取不正当手段诋毁、排挤其他</w:t>
      </w:r>
      <w:r>
        <w:rPr>
          <w:rFonts w:hint="eastAsia" w:ascii="宋体" w:hAnsi="宋体" w:cs="宋体"/>
          <w:bCs/>
          <w:color w:val="auto"/>
          <w:sz w:val="28"/>
          <w:szCs w:val="28"/>
          <w:highlight w:val="none"/>
          <w:lang w:val="en-US" w:eastAsia="zh-CN"/>
        </w:rPr>
        <w:t>投标人</w:t>
      </w:r>
      <w:r>
        <w:rPr>
          <w:rFonts w:hint="eastAsia" w:ascii="宋体" w:hAnsi="宋体" w:eastAsia="宋体" w:cs="宋体"/>
          <w:color w:val="auto"/>
          <w:sz w:val="28"/>
          <w:szCs w:val="28"/>
          <w:highlight w:val="none"/>
        </w:rPr>
        <w:t>的。</w:t>
      </w:r>
    </w:p>
    <w:p w14:paraId="0F66CDD1">
      <w:pPr>
        <w:adjustRightInd w:val="0"/>
        <w:snapToGrid w:val="0"/>
        <w:spacing w:line="420" w:lineRule="exact"/>
        <w:ind w:firstLine="560" w:firstLineChars="200"/>
        <w:rPr>
          <w:rFonts w:hint="eastAsia" w:ascii="宋体" w:hAnsi="宋体" w:eastAsia="宋体" w:cs="宋体"/>
          <w:color w:val="auto"/>
          <w:sz w:val="28"/>
          <w:szCs w:val="28"/>
          <w:highlight w:val="none"/>
        </w:rPr>
      </w:pPr>
      <w:bookmarkStart w:id="99" w:name="_Toc200451960"/>
      <w:r>
        <w:rPr>
          <w:rFonts w:hint="eastAsia" w:ascii="宋体" w:hAnsi="宋体" w:eastAsia="宋体" w:cs="宋体"/>
          <w:color w:val="auto"/>
          <w:sz w:val="28"/>
          <w:szCs w:val="28"/>
          <w:highlight w:val="none"/>
        </w:rPr>
        <w:t>1.5.</w:t>
      </w:r>
      <w:r>
        <w:rPr>
          <w:rFonts w:hint="eastAsia" w:ascii="宋体" w:hAnsi="宋体" w:eastAsia="宋体" w:cs="宋体"/>
          <w:color w:val="auto"/>
          <w:kern w:val="0"/>
          <w:sz w:val="28"/>
          <w:szCs w:val="28"/>
          <w:highlight w:val="none"/>
        </w:rPr>
        <w:t>有下列情形之一的，视为投标人串通投标，投标无效：</w:t>
      </w:r>
    </w:p>
    <w:p w14:paraId="35640ED4">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1.5.1不同投标人的投标文件由同一单位或者个人编制；</w:t>
      </w:r>
    </w:p>
    <w:p w14:paraId="5D91F7CB">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1.5.2不同投标人委托同一单位或者个人办理投标事宜；</w:t>
      </w:r>
    </w:p>
    <w:p w14:paraId="4D80FFD3">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1.5.3不同投标人的投标文件载明的项目管理成员或者联系人员为同一人；</w:t>
      </w:r>
    </w:p>
    <w:p w14:paraId="5EB37F94">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1.5.4不同投标人的投标文件异常一致或者投标报价呈规律性差异；</w:t>
      </w:r>
    </w:p>
    <w:p w14:paraId="23AE1FC5">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1.5.5不同投标人的投标文件相互混装；</w:t>
      </w:r>
    </w:p>
    <w:p w14:paraId="46DE06CC">
      <w:pPr>
        <w:pStyle w:val="5"/>
        <w:adjustRightInd w:val="0"/>
        <w:snapToGrid w:val="0"/>
        <w:spacing w:line="420" w:lineRule="exact"/>
        <w:ind w:firstLine="560" w:firstLineChars="200"/>
        <w:jc w:val="both"/>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处理</w:t>
      </w:r>
      <w:bookmarkEnd w:id="99"/>
    </w:p>
    <w:p w14:paraId="7454F48C">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 提出</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的</w:t>
      </w:r>
      <w:r>
        <w:rPr>
          <w:rFonts w:hint="eastAsia" w:ascii="宋体" w:hAnsi="宋体" w:cs="宋体"/>
          <w:bCs/>
          <w:color w:val="auto"/>
          <w:sz w:val="28"/>
          <w:szCs w:val="28"/>
          <w:highlight w:val="none"/>
          <w:lang w:val="en-US" w:eastAsia="zh-CN"/>
        </w:rPr>
        <w:t>投标人</w:t>
      </w:r>
      <w:r>
        <w:rPr>
          <w:rFonts w:hint="eastAsia" w:ascii="宋体" w:hAnsi="宋体" w:eastAsia="宋体" w:cs="宋体"/>
          <w:color w:val="auto"/>
          <w:sz w:val="28"/>
          <w:szCs w:val="28"/>
          <w:highlight w:val="none"/>
        </w:rPr>
        <w:t>应当是参与所</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项目采购活动的</w:t>
      </w:r>
      <w:r>
        <w:rPr>
          <w:rFonts w:hint="eastAsia" w:ascii="宋体" w:hAnsi="宋体" w:cs="宋体"/>
          <w:bCs/>
          <w:color w:val="auto"/>
          <w:sz w:val="28"/>
          <w:szCs w:val="28"/>
          <w:highlight w:val="none"/>
          <w:lang w:val="en-US" w:eastAsia="zh-CN"/>
        </w:rPr>
        <w:t>投标人</w:t>
      </w:r>
      <w:r>
        <w:rPr>
          <w:rFonts w:hint="eastAsia" w:ascii="宋体" w:hAnsi="宋体" w:eastAsia="宋体" w:cs="宋体"/>
          <w:color w:val="auto"/>
          <w:sz w:val="28"/>
          <w:szCs w:val="28"/>
          <w:highlight w:val="none"/>
        </w:rPr>
        <w:t>。潜在</w:t>
      </w:r>
      <w:r>
        <w:rPr>
          <w:rFonts w:hint="eastAsia" w:ascii="宋体" w:hAnsi="宋体" w:cs="宋体"/>
          <w:bCs/>
          <w:color w:val="auto"/>
          <w:sz w:val="28"/>
          <w:szCs w:val="28"/>
          <w:highlight w:val="none"/>
          <w:lang w:val="en-US" w:eastAsia="zh-CN"/>
        </w:rPr>
        <w:t>投标人</w:t>
      </w:r>
      <w:r>
        <w:rPr>
          <w:rFonts w:hint="eastAsia" w:ascii="宋体" w:hAnsi="宋体" w:eastAsia="宋体" w:cs="宋体"/>
          <w:color w:val="auto"/>
          <w:sz w:val="28"/>
          <w:szCs w:val="28"/>
          <w:highlight w:val="none"/>
        </w:rPr>
        <w:t>依法获取其可</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的</w:t>
      </w:r>
      <w:r>
        <w:rPr>
          <w:rFonts w:hint="eastAsia" w:ascii="宋体" w:hAnsi="宋体" w:cs="宋体"/>
          <w:color w:val="auto"/>
          <w:sz w:val="28"/>
          <w:szCs w:val="28"/>
          <w:highlight w:val="none"/>
          <w:lang w:eastAsia="zh-CN"/>
        </w:rPr>
        <w:t>招标文件</w:t>
      </w:r>
      <w:r>
        <w:rPr>
          <w:rFonts w:hint="eastAsia" w:ascii="宋体" w:hAnsi="宋体" w:eastAsia="宋体" w:cs="宋体"/>
          <w:color w:val="auto"/>
          <w:sz w:val="28"/>
          <w:szCs w:val="28"/>
          <w:highlight w:val="none"/>
        </w:rPr>
        <w:t>的，可以对</w:t>
      </w:r>
      <w:r>
        <w:rPr>
          <w:rFonts w:hint="eastAsia" w:ascii="宋体" w:hAnsi="宋体" w:cs="宋体"/>
          <w:color w:val="auto"/>
          <w:sz w:val="28"/>
          <w:szCs w:val="28"/>
          <w:highlight w:val="none"/>
          <w:lang w:eastAsia="zh-CN"/>
        </w:rPr>
        <w:t>招标文件</w:t>
      </w:r>
      <w:r>
        <w:rPr>
          <w:rFonts w:hint="eastAsia" w:ascii="宋体" w:hAnsi="宋体" w:eastAsia="宋体" w:cs="宋体"/>
          <w:color w:val="auto"/>
          <w:sz w:val="28"/>
          <w:szCs w:val="28"/>
          <w:highlight w:val="none"/>
        </w:rPr>
        <w:t>提出</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w:t>
      </w:r>
    </w:p>
    <w:p w14:paraId="30BC3F15">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w:t>
      </w:r>
      <w:r>
        <w:rPr>
          <w:rFonts w:hint="eastAsia" w:ascii="宋体" w:hAnsi="宋体" w:cs="宋体"/>
          <w:bCs/>
          <w:color w:val="auto"/>
          <w:sz w:val="28"/>
          <w:szCs w:val="28"/>
          <w:highlight w:val="none"/>
          <w:lang w:val="en-US" w:eastAsia="zh-CN"/>
        </w:rPr>
        <w:t>投标人</w:t>
      </w:r>
      <w:r>
        <w:rPr>
          <w:rFonts w:hint="eastAsia" w:ascii="宋体" w:hAnsi="宋体" w:eastAsia="宋体" w:cs="宋体"/>
          <w:color w:val="auto"/>
          <w:sz w:val="28"/>
          <w:szCs w:val="28"/>
          <w:highlight w:val="none"/>
        </w:rPr>
        <w:t>认为</w:t>
      </w:r>
      <w:r>
        <w:rPr>
          <w:rFonts w:hint="eastAsia" w:ascii="宋体" w:hAnsi="宋体" w:cs="宋体"/>
          <w:color w:val="auto"/>
          <w:sz w:val="28"/>
          <w:szCs w:val="28"/>
          <w:highlight w:val="none"/>
          <w:lang w:eastAsia="zh-CN"/>
        </w:rPr>
        <w:t>招标文件</w:t>
      </w:r>
      <w:r>
        <w:rPr>
          <w:rFonts w:hint="eastAsia" w:ascii="宋体" w:hAnsi="宋体" w:eastAsia="宋体" w:cs="宋体"/>
          <w:color w:val="auto"/>
          <w:sz w:val="28"/>
          <w:szCs w:val="28"/>
          <w:highlight w:val="none"/>
        </w:rPr>
        <w:t>、采购过程和采购结果使自己的权益受到损害的，可以在知道或应知其权益受到损害之日起七个工作日内，以书面形式向代理机构或招标人提出</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。上述应知其权益受到损害之日，是指：</w:t>
      </w:r>
    </w:p>
    <w:p w14:paraId="676D05C2">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2.2.1</w:t>
      </w:r>
      <w:r>
        <w:rPr>
          <w:rFonts w:hint="eastAsia" w:ascii="宋体" w:hAnsi="宋体" w:eastAsia="宋体" w:cs="宋体"/>
          <w:color w:val="auto"/>
          <w:kern w:val="0"/>
          <w:sz w:val="28"/>
          <w:szCs w:val="28"/>
          <w:highlight w:val="none"/>
        </w:rPr>
        <w:t>对可以</w:t>
      </w:r>
      <w:r>
        <w:rPr>
          <w:rFonts w:hint="eastAsia" w:ascii="宋体" w:hAnsi="宋体" w:eastAsia="宋体" w:cs="宋体"/>
          <w:color w:val="auto"/>
          <w:kern w:val="0"/>
          <w:sz w:val="28"/>
          <w:szCs w:val="28"/>
          <w:highlight w:val="none"/>
          <w:lang w:eastAsia="zh-CN"/>
        </w:rPr>
        <w:t>质询</w:t>
      </w:r>
      <w:r>
        <w:rPr>
          <w:rFonts w:hint="eastAsia" w:ascii="宋体" w:hAnsi="宋体" w:eastAsia="宋体" w:cs="宋体"/>
          <w:color w:val="auto"/>
          <w:kern w:val="0"/>
          <w:sz w:val="28"/>
          <w:szCs w:val="28"/>
          <w:highlight w:val="none"/>
        </w:rPr>
        <w:t>的</w:t>
      </w:r>
      <w:r>
        <w:rPr>
          <w:rFonts w:hint="eastAsia" w:ascii="宋体" w:hAnsi="宋体" w:cs="宋体"/>
          <w:color w:val="auto"/>
          <w:kern w:val="0"/>
          <w:sz w:val="28"/>
          <w:szCs w:val="28"/>
          <w:highlight w:val="none"/>
          <w:lang w:eastAsia="zh-CN"/>
        </w:rPr>
        <w:t>招标文件</w:t>
      </w:r>
      <w:r>
        <w:rPr>
          <w:rFonts w:hint="eastAsia" w:ascii="宋体" w:hAnsi="宋体" w:eastAsia="宋体" w:cs="宋体"/>
          <w:color w:val="auto"/>
          <w:kern w:val="0"/>
          <w:sz w:val="28"/>
          <w:szCs w:val="28"/>
          <w:highlight w:val="none"/>
        </w:rPr>
        <w:t>提出</w:t>
      </w:r>
      <w:r>
        <w:rPr>
          <w:rFonts w:hint="eastAsia" w:ascii="宋体" w:hAnsi="宋体" w:eastAsia="宋体" w:cs="宋体"/>
          <w:color w:val="auto"/>
          <w:kern w:val="0"/>
          <w:sz w:val="28"/>
          <w:szCs w:val="28"/>
          <w:highlight w:val="none"/>
          <w:lang w:eastAsia="zh-CN"/>
        </w:rPr>
        <w:t>质询</w:t>
      </w:r>
      <w:r>
        <w:rPr>
          <w:rFonts w:hint="eastAsia" w:ascii="宋体" w:hAnsi="宋体" w:eastAsia="宋体" w:cs="宋体"/>
          <w:color w:val="auto"/>
          <w:kern w:val="0"/>
          <w:sz w:val="28"/>
          <w:szCs w:val="28"/>
          <w:highlight w:val="none"/>
        </w:rPr>
        <w:t>的，为收到</w:t>
      </w:r>
      <w:r>
        <w:rPr>
          <w:rFonts w:hint="eastAsia" w:ascii="宋体" w:hAnsi="宋体" w:cs="宋体"/>
          <w:color w:val="auto"/>
          <w:kern w:val="0"/>
          <w:sz w:val="28"/>
          <w:szCs w:val="28"/>
          <w:highlight w:val="none"/>
          <w:lang w:eastAsia="zh-CN"/>
        </w:rPr>
        <w:t>招标文件</w:t>
      </w:r>
      <w:r>
        <w:rPr>
          <w:rFonts w:hint="eastAsia" w:ascii="宋体" w:hAnsi="宋体" w:eastAsia="宋体" w:cs="宋体"/>
          <w:color w:val="auto"/>
          <w:kern w:val="0"/>
          <w:sz w:val="28"/>
          <w:szCs w:val="28"/>
          <w:highlight w:val="none"/>
        </w:rPr>
        <w:t>之日或者</w:t>
      </w:r>
      <w:r>
        <w:rPr>
          <w:rFonts w:hint="eastAsia" w:ascii="宋体" w:hAnsi="宋体" w:cs="宋体"/>
          <w:color w:val="auto"/>
          <w:kern w:val="0"/>
          <w:sz w:val="28"/>
          <w:szCs w:val="28"/>
          <w:highlight w:val="none"/>
          <w:lang w:eastAsia="zh-CN"/>
        </w:rPr>
        <w:t>招标文件</w:t>
      </w:r>
      <w:r>
        <w:rPr>
          <w:rFonts w:hint="eastAsia" w:ascii="宋体" w:hAnsi="宋体" w:eastAsia="宋体" w:cs="宋体"/>
          <w:color w:val="auto"/>
          <w:kern w:val="0"/>
          <w:sz w:val="28"/>
          <w:szCs w:val="28"/>
          <w:highlight w:val="none"/>
        </w:rPr>
        <w:t>公告期限届满之日；</w:t>
      </w:r>
    </w:p>
    <w:p w14:paraId="16AE0BA6">
      <w:pPr>
        <w:adjustRightInd w:val="0"/>
        <w:snapToGrid w:val="0"/>
        <w:spacing w:line="42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sz w:val="28"/>
          <w:szCs w:val="28"/>
          <w:highlight w:val="none"/>
        </w:rPr>
        <w:t>2.2.2</w:t>
      </w:r>
      <w:r>
        <w:rPr>
          <w:rFonts w:hint="eastAsia" w:ascii="宋体" w:hAnsi="宋体" w:eastAsia="宋体" w:cs="宋体"/>
          <w:b/>
          <w:bCs/>
          <w:color w:val="auto"/>
          <w:kern w:val="0"/>
          <w:sz w:val="28"/>
          <w:szCs w:val="28"/>
          <w:highlight w:val="none"/>
        </w:rPr>
        <w:t>对采购过程提出</w:t>
      </w:r>
      <w:r>
        <w:rPr>
          <w:rFonts w:hint="eastAsia" w:ascii="宋体" w:hAnsi="宋体" w:eastAsia="宋体" w:cs="宋体"/>
          <w:b/>
          <w:bCs/>
          <w:color w:val="auto"/>
          <w:kern w:val="0"/>
          <w:sz w:val="28"/>
          <w:szCs w:val="28"/>
          <w:highlight w:val="none"/>
          <w:lang w:eastAsia="zh-CN"/>
        </w:rPr>
        <w:t>质询</w:t>
      </w:r>
      <w:r>
        <w:rPr>
          <w:rFonts w:hint="eastAsia" w:ascii="宋体" w:hAnsi="宋体" w:eastAsia="宋体" w:cs="宋体"/>
          <w:b/>
          <w:bCs/>
          <w:color w:val="auto"/>
          <w:kern w:val="0"/>
          <w:sz w:val="28"/>
          <w:szCs w:val="28"/>
          <w:highlight w:val="none"/>
        </w:rPr>
        <w:t>的，为各采购程序环节结束之日；</w:t>
      </w:r>
    </w:p>
    <w:p w14:paraId="47A35581">
      <w:pPr>
        <w:adjustRightInd w:val="0"/>
        <w:snapToGrid w:val="0"/>
        <w:spacing w:line="42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其中：对评审过程中涉及到的密封检查、身份核对、澄清等和程序性事项，投标人如有异议的，必须当场提出。否则，均视为投标人无异议。无论是否成交，投标人事后不得再就前述事项提出任何异议或</w:t>
      </w:r>
      <w:r>
        <w:rPr>
          <w:rFonts w:hint="eastAsia" w:ascii="宋体" w:hAnsi="宋体" w:eastAsia="宋体" w:cs="宋体"/>
          <w:b/>
          <w:bCs/>
          <w:color w:val="auto"/>
          <w:sz w:val="28"/>
          <w:szCs w:val="28"/>
          <w:highlight w:val="none"/>
          <w:lang w:eastAsia="zh-CN"/>
        </w:rPr>
        <w:t>质询</w:t>
      </w:r>
      <w:r>
        <w:rPr>
          <w:rFonts w:hint="eastAsia" w:ascii="宋体" w:hAnsi="宋体" w:eastAsia="宋体" w:cs="宋体"/>
          <w:b/>
          <w:bCs/>
          <w:color w:val="auto"/>
          <w:sz w:val="28"/>
          <w:szCs w:val="28"/>
          <w:highlight w:val="none"/>
        </w:rPr>
        <w:t>。</w:t>
      </w:r>
    </w:p>
    <w:p w14:paraId="2CC7A5AF">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2.2.3</w:t>
      </w:r>
      <w:r>
        <w:rPr>
          <w:rFonts w:hint="eastAsia" w:ascii="宋体" w:hAnsi="宋体" w:eastAsia="宋体" w:cs="宋体"/>
          <w:color w:val="auto"/>
          <w:kern w:val="0"/>
          <w:sz w:val="28"/>
          <w:szCs w:val="28"/>
          <w:highlight w:val="none"/>
        </w:rPr>
        <w:t>对中标或者成交结果提出</w:t>
      </w:r>
      <w:r>
        <w:rPr>
          <w:rFonts w:hint="eastAsia" w:ascii="宋体" w:hAnsi="宋体" w:eastAsia="宋体" w:cs="宋体"/>
          <w:color w:val="auto"/>
          <w:kern w:val="0"/>
          <w:sz w:val="28"/>
          <w:szCs w:val="28"/>
          <w:highlight w:val="none"/>
          <w:lang w:eastAsia="zh-CN"/>
        </w:rPr>
        <w:t>质询</w:t>
      </w:r>
      <w:r>
        <w:rPr>
          <w:rFonts w:hint="eastAsia" w:ascii="宋体" w:hAnsi="宋体" w:eastAsia="宋体" w:cs="宋体"/>
          <w:color w:val="auto"/>
          <w:kern w:val="0"/>
          <w:sz w:val="28"/>
          <w:szCs w:val="28"/>
          <w:highlight w:val="none"/>
        </w:rPr>
        <w:t>的，为中标或者成交结果公告期限届满之日。</w:t>
      </w:r>
    </w:p>
    <w:p w14:paraId="5499B0A3">
      <w:pPr>
        <w:adjustRightInd w:val="0"/>
        <w:snapToGrid w:val="0"/>
        <w:spacing w:line="42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投标人应当在法定</w:t>
      </w:r>
      <w:r>
        <w:rPr>
          <w:rFonts w:hint="eastAsia" w:ascii="宋体" w:hAnsi="宋体" w:eastAsia="宋体" w:cs="宋体"/>
          <w:color w:val="auto"/>
          <w:kern w:val="0"/>
          <w:sz w:val="28"/>
          <w:szCs w:val="28"/>
          <w:highlight w:val="none"/>
          <w:lang w:eastAsia="zh-CN"/>
        </w:rPr>
        <w:t>质询</w:t>
      </w:r>
      <w:r>
        <w:rPr>
          <w:rFonts w:hint="eastAsia" w:ascii="宋体" w:hAnsi="宋体" w:eastAsia="宋体" w:cs="宋体"/>
          <w:color w:val="auto"/>
          <w:kern w:val="0"/>
          <w:sz w:val="28"/>
          <w:szCs w:val="28"/>
          <w:highlight w:val="none"/>
        </w:rPr>
        <w:t>期内一次性提出针对同一采购程序环节的</w:t>
      </w:r>
      <w:r>
        <w:rPr>
          <w:rFonts w:hint="eastAsia" w:ascii="宋体" w:hAnsi="宋体" w:eastAsia="宋体" w:cs="宋体"/>
          <w:color w:val="auto"/>
          <w:kern w:val="0"/>
          <w:sz w:val="28"/>
          <w:szCs w:val="28"/>
          <w:highlight w:val="none"/>
          <w:lang w:eastAsia="zh-CN"/>
        </w:rPr>
        <w:t>质询</w:t>
      </w:r>
      <w:r>
        <w:rPr>
          <w:rFonts w:hint="eastAsia" w:ascii="宋体" w:hAnsi="宋体" w:eastAsia="宋体" w:cs="宋体"/>
          <w:color w:val="auto"/>
          <w:kern w:val="0"/>
          <w:sz w:val="28"/>
          <w:szCs w:val="28"/>
          <w:highlight w:val="none"/>
        </w:rPr>
        <w:t>。</w:t>
      </w:r>
    </w:p>
    <w:p w14:paraId="73BB415F">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2.3</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函必须按照本招标文件中《</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函范本》要求的格式和内容进行填写。</w:t>
      </w:r>
    </w:p>
    <w:p w14:paraId="644DEF91">
      <w:pPr>
        <w:adjustRightInd w:val="0"/>
        <w:snapToGrid w:val="0"/>
        <w:spacing w:line="42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2.4对</w:t>
      </w:r>
      <w:r>
        <w:rPr>
          <w:rFonts w:hint="eastAsia" w:ascii="宋体" w:hAnsi="宋体" w:cs="宋体"/>
          <w:color w:val="auto"/>
          <w:sz w:val="28"/>
          <w:szCs w:val="28"/>
          <w:highlight w:val="none"/>
          <w:lang w:val="en-US" w:eastAsia="zh-CN"/>
        </w:rPr>
        <w:t>招标</w:t>
      </w:r>
      <w:r>
        <w:rPr>
          <w:rFonts w:hint="eastAsia" w:ascii="宋体" w:hAnsi="宋体" w:eastAsia="宋体" w:cs="宋体"/>
          <w:color w:val="auto"/>
          <w:sz w:val="28"/>
          <w:szCs w:val="28"/>
          <w:highlight w:val="none"/>
        </w:rPr>
        <w:t>方式、招标文件中项目需求、</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资格条件、评标方法和评标标准、资格审查结果等应当由招标人答复的质疑，请向招标人提出，由招标人负责答复。</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对其他事项的质疑，请向代理机构提出，由</w:t>
      </w:r>
      <w:r>
        <w:rPr>
          <w:rFonts w:hint="eastAsia" w:ascii="宋体" w:hAnsi="宋体" w:cs="宋体"/>
          <w:color w:val="auto"/>
          <w:sz w:val="28"/>
          <w:szCs w:val="28"/>
          <w:highlight w:val="none"/>
          <w:lang w:val="en-US" w:eastAsia="zh-CN"/>
        </w:rPr>
        <w:t>招标</w:t>
      </w:r>
      <w:r>
        <w:rPr>
          <w:rFonts w:hint="eastAsia" w:ascii="宋体" w:hAnsi="宋体" w:eastAsia="宋体" w:cs="宋体"/>
          <w:color w:val="auto"/>
          <w:sz w:val="28"/>
          <w:szCs w:val="28"/>
          <w:highlight w:val="none"/>
        </w:rPr>
        <w:t>人或代理机构负责答复。</w:t>
      </w:r>
    </w:p>
    <w:p w14:paraId="55391D46">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投标人提起</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采取书面形式，可以现场送达，也可以邮寄。</w:t>
      </w:r>
    </w:p>
    <w:p w14:paraId="5009A0A0">
      <w:pPr>
        <w:adjustRightInd w:val="0"/>
        <w:snapToGrid w:val="0"/>
        <w:spacing w:line="420" w:lineRule="exact"/>
        <w:ind w:firstLine="560" w:firstLineChars="200"/>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受理</w:t>
      </w:r>
      <w:r>
        <w:rPr>
          <w:rFonts w:hint="eastAsia" w:ascii="宋体" w:hAnsi="宋体" w:cs="宋体"/>
          <w:color w:val="auto"/>
          <w:sz w:val="28"/>
          <w:szCs w:val="28"/>
          <w:highlight w:val="none"/>
          <w:lang w:val="en-US" w:eastAsia="zh-CN"/>
        </w:rPr>
        <w:t>联系信息：详见招标公告内容。</w:t>
      </w:r>
    </w:p>
    <w:p w14:paraId="4C425F24">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接收人及联系方式，见招标文件第一部分。</w:t>
      </w:r>
    </w:p>
    <w:p w14:paraId="73B1488F">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 以下情形的</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不予受理</w:t>
      </w:r>
    </w:p>
    <w:p w14:paraId="6439F31D">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2.5.1 内容不符合上述规定的</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w:t>
      </w:r>
    </w:p>
    <w:p w14:paraId="47CAA4CC">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2.5.2 超出采购法定期限的</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w:t>
      </w:r>
    </w:p>
    <w:p w14:paraId="1B717E1A">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2.5.3 未参加招标活动的</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或在招标活动中自身权益未受到损害的</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所提出的</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w:t>
      </w:r>
    </w:p>
    <w:p w14:paraId="3F08CEDA">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2.6 投标人提出书面</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必须有理、有据，不得捏造事实、提供虚假材料进行恶意</w:t>
      </w:r>
      <w:r>
        <w:rPr>
          <w:rFonts w:hint="eastAsia" w:ascii="宋体" w:hAnsi="宋体" w:eastAsia="宋体" w:cs="宋体"/>
          <w:color w:val="auto"/>
          <w:sz w:val="28"/>
          <w:szCs w:val="28"/>
          <w:highlight w:val="none"/>
          <w:lang w:eastAsia="zh-CN"/>
        </w:rPr>
        <w:t>质询</w:t>
      </w:r>
      <w:r>
        <w:rPr>
          <w:rFonts w:hint="eastAsia" w:ascii="宋体" w:hAnsi="宋体" w:eastAsia="宋体" w:cs="宋体"/>
          <w:color w:val="auto"/>
          <w:sz w:val="28"/>
          <w:szCs w:val="28"/>
          <w:highlight w:val="none"/>
        </w:rPr>
        <w:t>。否则，一经查实，招标代理机构有权依据招标的有关规定，报请采购监管部门对该</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进行相应的行政处罚和记录该</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的失信信息。</w:t>
      </w:r>
    </w:p>
    <w:p w14:paraId="4449DD74">
      <w:pPr>
        <w:pStyle w:val="5"/>
        <w:adjustRightInd w:val="0"/>
        <w:snapToGrid w:val="0"/>
        <w:spacing w:line="420" w:lineRule="exact"/>
        <w:ind w:firstLine="560" w:firstLineChars="200"/>
        <w:jc w:val="both"/>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3.中标通知书</w:t>
      </w:r>
    </w:p>
    <w:p w14:paraId="6E41C29C">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3.l中标结果确定后，招标人将向中标</w:t>
      </w:r>
      <w:r>
        <w:rPr>
          <w:rFonts w:hint="eastAsia" w:ascii="宋体" w:hAnsi="宋体" w:cs="宋体"/>
          <w:color w:val="auto"/>
          <w:sz w:val="28"/>
          <w:szCs w:val="28"/>
          <w:highlight w:val="none"/>
          <w:lang w:val="en-US" w:eastAsia="zh-CN"/>
        </w:rPr>
        <w:t>人</w:t>
      </w:r>
      <w:r>
        <w:rPr>
          <w:rFonts w:hint="eastAsia" w:ascii="宋体" w:hAnsi="宋体" w:eastAsia="宋体" w:cs="宋体"/>
          <w:color w:val="auto"/>
          <w:sz w:val="28"/>
          <w:szCs w:val="28"/>
          <w:highlight w:val="none"/>
        </w:rPr>
        <w:t>发出中标通知书。</w:t>
      </w:r>
      <w:r>
        <w:rPr>
          <w:rFonts w:hint="eastAsia" w:ascii="宋体" w:hAnsi="宋体" w:cs="宋体"/>
          <w:color w:val="auto"/>
          <w:sz w:val="28"/>
          <w:szCs w:val="28"/>
          <w:highlight w:val="none"/>
          <w:lang w:eastAsia="zh-CN"/>
        </w:rPr>
        <w:t>中标人</w:t>
      </w:r>
      <w:r>
        <w:rPr>
          <w:rFonts w:hint="eastAsia" w:ascii="宋体" w:hAnsi="宋体" w:eastAsia="宋体" w:cs="宋体"/>
          <w:color w:val="auto"/>
          <w:sz w:val="28"/>
          <w:szCs w:val="28"/>
          <w:highlight w:val="none"/>
        </w:rPr>
        <w:t>应在成交结果公告期满后5个工作日内到采购代理机构办理领取成交通知书手续，否则，由此产生的后果</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自负。</w:t>
      </w:r>
    </w:p>
    <w:p w14:paraId="009E23BD">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3.2中标通知书将是合同的一个组成部分。对招标人和中标</w:t>
      </w:r>
      <w:r>
        <w:rPr>
          <w:rFonts w:hint="eastAsia" w:ascii="宋体" w:hAnsi="宋体" w:cs="宋体"/>
          <w:color w:val="auto"/>
          <w:sz w:val="28"/>
          <w:szCs w:val="28"/>
          <w:highlight w:val="none"/>
          <w:lang w:val="en-US" w:eastAsia="zh-CN"/>
        </w:rPr>
        <w:t>人</w:t>
      </w:r>
      <w:r>
        <w:rPr>
          <w:rFonts w:hint="eastAsia" w:ascii="宋体" w:hAnsi="宋体" w:eastAsia="宋体" w:cs="宋体"/>
          <w:color w:val="auto"/>
          <w:sz w:val="28"/>
          <w:szCs w:val="28"/>
          <w:highlight w:val="none"/>
        </w:rPr>
        <w:t>均具有法律效力。中标通知书发出后，招标人改变中标结果的，或者中标</w:t>
      </w:r>
      <w:r>
        <w:rPr>
          <w:rFonts w:hint="eastAsia" w:ascii="宋体" w:hAnsi="宋体" w:cs="宋体"/>
          <w:color w:val="auto"/>
          <w:sz w:val="28"/>
          <w:szCs w:val="28"/>
          <w:highlight w:val="none"/>
          <w:lang w:val="en-US" w:eastAsia="zh-CN"/>
        </w:rPr>
        <w:t>人</w:t>
      </w:r>
      <w:r>
        <w:rPr>
          <w:rFonts w:hint="eastAsia" w:ascii="宋体" w:hAnsi="宋体" w:eastAsia="宋体" w:cs="宋体"/>
          <w:color w:val="auto"/>
          <w:sz w:val="28"/>
          <w:szCs w:val="28"/>
          <w:highlight w:val="none"/>
        </w:rPr>
        <w:t>放弃中标项目的，应当依法承担法律责任。</w:t>
      </w:r>
    </w:p>
    <w:p w14:paraId="70E92BA0">
      <w:pPr>
        <w:pStyle w:val="4"/>
        <w:adjustRightInd w:val="0"/>
        <w:snapToGrid w:val="0"/>
        <w:spacing w:before="0" w:after="0" w:line="420" w:lineRule="exact"/>
        <w:ind w:firstLine="562" w:firstLineChars="200"/>
        <w:rPr>
          <w:rFonts w:hint="eastAsia" w:ascii="宋体" w:hAnsi="宋体" w:eastAsia="宋体" w:cs="宋体"/>
          <w:color w:val="auto"/>
          <w:sz w:val="28"/>
          <w:szCs w:val="28"/>
          <w:highlight w:val="none"/>
        </w:rPr>
      </w:pPr>
      <w:bookmarkStart w:id="100" w:name="_Toc120614220"/>
      <w:bookmarkStart w:id="101" w:name="_Toc16938552"/>
      <w:bookmarkStart w:id="102" w:name="_Toc513029236"/>
      <w:bookmarkStart w:id="103" w:name="_Toc20823308"/>
      <w:r>
        <w:rPr>
          <w:rFonts w:hint="eastAsia" w:ascii="宋体" w:hAnsi="宋体" w:eastAsia="宋体" w:cs="宋体"/>
          <w:color w:val="auto"/>
          <w:sz w:val="28"/>
          <w:szCs w:val="28"/>
          <w:highlight w:val="none"/>
        </w:rPr>
        <w:t>七、授予合同</w:t>
      </w:r>
      <w:bookmarkEnd w:id="100"/>
    </w:p>
    <w:bookmarkEnd w:id="101"/>
    <w:bookmarkEnd w:id="102"/>
    <w:bookmarkEnd w:id="103"/>
    <w:p w14:paraId="0843F169">
      <w:pPr>
        <w:pStyle w:val="5"/>
        <w:adjustRightInd w:val="0"/>
        <w:snapToGrid w:val="0"/>
        <w:spacing w:line="420" w:lineRule="exact"/>
        <w:ind w:firstLine="560" w:firstLineChars="200"/>
        <w:jc w:val="both"/>
        <w:rPr>
          <w:rFonts w:hint="eastAsia" w:ascii="宋体" w:hAnsi="宋体" w:eastAsia="宋体" w:cs="宋体"/>
          <w:b/>
          <w:color w:val="auto"/>
          <w:sz w:val="28"/>
          <w:szCs w:val="28"/>
          <w:highlight w:val="none"/>
        </w:rPr>
      </w:pPr>
      <w:bookmarkStart w:id="104" w:name="_Toc16938553"/>
      <w:bookmarkStart w:id="105" w:name="_Toc513029237"/>
      <w:bookmarkStart w:id="106" w:name="_Toc20823309"/>
      <w:r>
        <w:rPr>
          <w:rFonts w:hint="eastAsia" w:ascii="宋体" w:hAnsi="宋体" w:eastAsia="宋体" w:cs="宋体"/>
          <w:color w:val="auto"/>
          <w:sz w:val="28"/>
          <w:szCs w:val="28"/>
          <w:highlight w:val="none"/>
        </w:rPr>
        <w:t>1.签订合同</w:t>
      </w:r>
    </w:p>
    <w:p w14:paraId="27FA89C7">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1</w:t>
      </w:r>
      <w:r>
        <w:rPr>
          <w:rFonts w:hint="eastAsia" w:ascii="宋体" w:hAnsi="宋体" w:eastAsia="宋体" w:cs="宋体"/>
          <w:color w:val="auto"/>
          <w:sz w:val="28"/>
          <w:szCs w:val="28"/>
          <w:highlight w:val="none"/>
        </w:rPr>
        <w:t>.l中标人应当在中标通知书发出之日起三十日内，按照招标文件确定的事项与招标人签订政府采购合同。</w:t>
      </w:r>
    </w:p>
    <w:p w14:paraId="6D7D4169">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1.2招标文件、中标人的投标文件及招标过程中有关澄清、承诺文件均应作为合同附件。</w:t>
      </w:r>
    </w:p>
    <w:p w14:paraId="2EA44851">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1.3签订合同后，中标人不得将服务进行转包。未经招标人同意，中标人也不得采用分包的形式履行合同，否则招标人有权终止合同。政府采购合同分包履行的，中标、</w:t>
      </w:r>
      <w:r>
        <w:rPr>
          <w:rFonts w:hint="eastAsia" w:ascii="宋体" w:hAnsi="宋体" w:cs="宋体"/>
          <w:color w:val="auto"/>
          <w:sz w:val="28"/>
          <w:szCs w:val="28"/>
          <w:highlight w:val="none"/>
          <w:lang w:eastAsia="zh-CN"/>
        </w:rPr>
        <w:t>中标人</w:t>
      </w:r>
      <w:r>
        <w:rPr>
          <w:rFonts w:hint="eastAsia" w:ascii="宋体" w:hAnsi="宋体" w:eastAsia="宋体" w:cs="宋体"/>
          <w:color w:val="auto"/>
          <w:sz w:val="28"/>
          <w:szCs w:val="28"/>
          <w:highlight w:val="none"/>
        </w:rPr>
        <w:t>就采购项目和分包项目向招标人负责，分包供应商就分包项目承担责任。转包或分包造成招标人损失的，中标人应承担相应赔偿责任。</w:t>
      </w:r>
    </w:p>
    <w:p w14:paraId="46CF07BA">
      <w:pPr>
        <w:pStyle w:val="5"/>
        <w:adjustRightInd w:val="0"/>
        <w:snapToGrid w:val="0"/>
        <w:spacing w:line="420" w:lineRule="exact"/>
        <w:ind w:firstLine="560" w:firstLineChars="200"/>
        <w:jc w:val="both"/>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2.服务的追加、减少和添购。</w:t>
      </w:r>
    </w:p>
    <w:p w14:paraId="6B72CAC9">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2.1政府采购合同履行中，招标人需追加与合同标的相同的服务的，在不改变合同其他条款的前提下，可以与中标人协商签订补充合同，但所有补充合同的采购金额不超过原合同金额10%。</w:t>
      </w:r>
    </w:p>
    <w:p w14:paraId="41486299">
      <w:pPr>
        <w:adjustRightInd w:val="0"/>
        <w:snapToGrid w:val="0"/>
        <w:spacing w:line="420" w:lineRule="exact"/>
        <w:ind w:firstLine="560" w:firstLineChars="200"/>
        <w:rPr>
          <w:rFonts w:hint="eastAsia" w:ascii="宋体" w:hAnsi="宋体" w:eastAsia="宋体" w:cs="宋体"/>
          <w:bCs/>
          <w:color w:val="auto"/>
          <w:sz w:val="36"/>
          <w:szCs w:val="36"/>
          <w:highlight w:val="none"/>
        </w:rPr>
      </w:pPr>
      <w:r>
        <w:rPr>
          <w:rFonts w:hint="eastAsia" w:ascii="宋体" w:hAnsi="宋体" w:eastAsia="宋体" w:cs="宋体"/>
          <w:color w:val="auto"/>
          <w:sz w:val="28"/>
          <w:szCs w:val="28"/>
          <w:highlight w:val="none"/>
        </w:rPr>
        <w:t>2.2采购结束后，招标人若由于各种客观原因，必须对采购项目所牵涉的服务进行适当的减少时，在双方协商一致的前提下，可以按照招标采购时的价格水平做相应的调减，并据此签订补充合同。</w:t>
      </w:r>
      <w:bookmarkEnd w:id="104"/>
      <w:bookmarkEnd w:id="105"/>
      <w:bookmarkEnd w:id="106"/>
    </w:p>
    <w:p w14:paraId="0D9DA96B">
      <w:pPr>
        <w:adjustRightInd w:val="0"/>
        <w:snapToGrid w:val="0"/>
        <w:spacing w:line="500" w:lineRule="exact"/>
        <w:jc w:val="center"/>
        <w:outlineLvl w:val="0"/>
        <w:rPr>
          <w:rFonts w:hint="eastAsia" w:ascii="宋体" w:hAnsi="宋体" w:eastAsia="宋体" w:cs="宋体"/>
          <w:bCs/>
          <w:color w:val="auto"/>
          <w:sz w:val="36"/>
          <w:szCs w:val="36"/>
          <w:highlight w:val="none"/>
        </w:rPr>
      </w:pPr>
    </w:p>
    <w:p w14:paraId="27E0A69D">
      <w:pPr>
        <w:spacing w:line="800" w:lineRule="exact"/>
        <w:ind w:firstLine="420"/>
        <w:jc w:val="center"/>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br w:type="page"/>
      </w:r>
      <w:r>
        <w:rPr>
          <w:rFonts w:hint="eastAsia" w:ascii="宋体" w:hAnsi="宋体" w:eastAsia="宋体" w:cs="宋体"/>
          <w:b/>
          <w:color w:val="auto"/>
          <w:sz w:val="36"/>
          <w:szCs w:val="36"/>
          <w:highlight w:val="none"/>
        </w:rPr>
        <w:t>第三部分  项目需求</w:t>
      </w:r>
    </w:p>
    <w:p w14:paraId="14C429EA">
      <w:pPr>
        <w:spacing w:line="420" w:lineRule="exact"/>
        <w:ind w:firstLine="560" w:firstLineChars="20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rPr>
        <w:t>投标人在制作投标文件时仔细研究项目需求说明。项目需求包括技术要求和商务要求</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技术要求是指对采购标的功能和质量要求，包括性能、材料、结构、外观、安全，或者服务内容和标准等</w:t>
      </w:r>
      <w:r>
        <w:rPr>
          <w:rFonts w:hint="eastAsia" w:ascii="宋体" w:hAnsi="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rPr>
        <w:t>商务要求是指取得采购标的的时间、地点、财务和服务要求，包括交付（实施）的时间（期限）和地点（范围），付款条件（进度和方法），包装和运输，售后服务，保险等。</w:t>
      </w:r>
    </w:p>
    <w:bookmarkEnd w:id="0"/>
    <w:bookmarkEnd w:id="1"/>
    <w:bookmarkEnd w:id="2"/>
    <w:p w14:paraId="38CF74DA">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一、项目介绍</w:t>
      </w:r>
    </w:p>
    <w:p w14:paraId="549039C6">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（一）名称：</w:t>
      </w:r>
      <w:r>
        <w:rPr>
          <w:rFonts w:hint="eastAsia" w:asciiTheme="minorEastAsia" w:hAnsiTheme="minorEastAsia" w:eastAsiaTheme="minorEastAsia" w:cstheme="minorEastAsia"/>
          <w:color w:val="auto"/>
          <w:sz w:val="28"/>
          <w:szCs w:val="28"/>
          <w:highlight w:val="none"/>
          <w:lang w:eastAsia="zh-CN"/>
        </w:rPr>
        <w:t>江苏航运职业技术学院消防维保项目</w:t>
      </w:r>
    </w:p>
    <w:p w14:paraId="3E5C8864">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（二）</w:t>
      </w:r>
      <w:r>
        <w:rPr>
          <w:rFonts w:hint="eastAsia" w:asciiTheme="minorEastAsia" w:hAnsiTheme="minorEastAsia" w:eastAsiaTheme="minorEastAsia" w:cstheme="minorEastAsia"/>
          <w:color w:val="auto"/>
          <w:sz w:val="28"/>
          <w:szCs w:val="28"/>
          <w:highlight w:val="none"/>
          <w:lang w:val="en-US" w:eastAsia="zh-CN"/>
        </w:rPr>
        <w:t>维保</w:t>
      </w:r>
      <w:r>
        <w:rPr>
          <w:rFonts w:hint="eastAsia" w:asciiTheme="minorEastAsia" w:hAnsiTheme="minorEastAsia" w:eastAsiaTheme="minorEastAsia" w:cstheme="minorEastAsia"/>
          <w:color w:val="auto"/>
          <w:sz w:val="28"/>
          <w:szCs w:val="28"/>
          <w:highlight w:val="none"/>
        </w:rPr>
        <w:t>内容及</w:t>
      </w:r>
      <w:r>
        <w:rPr>
          <w:rFonts w:hint="eastAsia" w:asciiTheme="minorEastAsia" w:hAnsiTheme="minorEastAsia" w:eastAsiaTheme="minorEastAsia" w:cstheme="minorEastAsia"/>
          <w:color w:val="auto"/>
          <w:sz w:val="28"/>
          <w:szCs w:val="28"/>
          <w:highlight w:val="none"/>
          <w:lang w:val="en-US" w:eastAsia="zh-CN"/>
        </w:rPr>
        <w:t>工作</w:t>
      </w:r>
      <w:r>
        <w:rPr>
          <w:rFonts w:hint="eastAsia" w:asciiTheme="minorEastAsia" w:hAnsiTheme="minorEastAsia" w:eastAsiaTheme="minorEastAsia" w:cstheme="minorEastAsia"/>
          <w:color w:val="auto"/>
          <w:sz w:val="28"/>
          <w:szCs w:val="28"/>
          <w:highlight w:val="none"/>
        </w:rPr>
        <w:t>量：</w:t>
      </w:r>
    </w:p>
    <w:p w14:paraId="545F7B4F">
      <w:pPr>
        <w:keepNext w:val="0"/>
        <w:keepLines w:val="0"/>
        <w:pageBreakBefore w:val="0"/>
        <w:widowControl/>
        <w:kinsoku/>
        <w:wordWrap/>
        <w:overflowPunct/>
        <w:topLinePunct w:val="0"/>
        <w:autoSpaceDE/>
        <w:autoSpaceDN/>
        <w:bidi w:val="0"/>
        <w:adjustRightInd/>
        <w:snapToGrid w:val="0"/>
        <w:spacing w:line="420" w:lineRule="exact"/>
        <w:ind w:firstLine="560" w:firstLineChars="200"/>
        <w:jc w:val="center"/>
        <w:textAlignment w:val="auto"/>
        <w:rPr>
          <w:rFonts w:hint="eastAsia" w:asciiTheme="minorEastAsia" w:hAnsiTheme="minorEastAsia" w:eastAsiaTheme="minorEastAsia" w:cstheme="minorEastAsia"/>
          <w:b w:val="0"/>
          <w:bCs w:val="0"/>
          <w:color w:val="auto"/>
          <w:kern w:val="0"/>
          <w:sz w:val="28"/>
          <w:szCs w:val="28"/>
          <w:highlight w:val="none"/>
        </w:rPr>
      </w:pPr>
      <w:r>
        <w:rPr>
          <w:rFonts w:hint="eastAsia" w:asciiTheme="minorEastAsia" w:hAnsiTheme="minorEastAsia" w:eastAsiaTheme="minorEastAsia" w:cstheme="minorEastAsia"/>
          <w:b w:val="0"/>
          <w:bCs w:val="0"/>
          <w:color w:val="auto"/>
          <w:kern w:val="0"/>
          <w:sz w:val="28"/>
          <w:szCs w:val="28"/>
          <w:highlight w:val="none"/>
        </w:rPr>
        <w:t>消防设施设备统计表</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552"/>
        <w:gridCol w:w="1341"/>
        <w:gridCol w:w="3858"/>
      </w:tblGrid>
      <w:tr w14:paraId="144C8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4" w:type="pct"/>
          </w:tcPr>
          <w:p w14:paraId="6446BCA9">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序号</w:t>
            </w:r>
          </w:p>
        </w:tc>
        <w:tc>
          <w:tcPr>
            <w:tcW w:w="1496" w:type="pct"/>
          </w:tcPr>
          <w:p w14:paraId="4FB3C053">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名称</w:t>
            </w:r>
          </w:p>
        </w:tc>
        <w:tc>
          <w:tcPr>
            <w:tcW w:w="786" w:type="pct"/>
          </w:tcPr>
          <w:p w14:paraId="5000AE9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数量</w:t>
            </w:r>
          </w:p>
        </w:tc>
        <w:tc>
          <w:tcPr>
            <w:tcW w:w="2262" w:type="pct"/>
          </w:tcPr>
          <w:p w14:paraId="600D3DA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设备地点</w:t>
            </w:r>
          </w:p>
        </w:tc>
      </w:tr>
      <w:tr w14:paraId="3180E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600CDF5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w:t>
            </w:r>
          </w:p>
        </w:tc>
        <w:tc>
          <w:tcPr>
            <w:tcW w:w="1496" w:type="pct"/>
            <w:vAlign w:val="center"/>
          </w:tcPr>
          <w:p w14:paraId="403D82A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火灾报警控制器</w:t>
            </w:r>
          </w:p>
        </w:tc>
        <w:tc>
          <w:tcPr>
            <w:tcW w:w="786" w:type="pct"/>
            <w:vAlign w:val="center"/>
          </w:tcPr>
          <w:p w14:paraId="01D7B2A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20</w:t>
            </w:r>
            <w:r>
              <w:rPr>
                <w:rFonts w:hint="eastAsia" w:asciiTheme="minorEastAsia" w:hAnsiTheme="minorEastAsia" w:eastAsiaTheme="minorEastAsia" w:cstheme="minorEastAsia"/>
                <w:b w:val="0"/>
                <w:bCs w:val="0"/>
                <w:color w:val="auto"/>
                <w:kern w:val="0"/>
                <w:sz w:val="22"/>
                <w:szCs w:val="22"/>
                <w:highlight w:val="none"/>
              </w:rPr>
              <w:t>台</w:t>
            </w:r>
          </w:p>
        </w:tc>
        <w:tc>
          <w:tcPr>
            <w:tcW w:w="2262" w:type="pct"/>
            <w:vAlign w:val="center"/>
          </w:tcPr>
          <w:p w14:paraId="0E09FBD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消防控制中心</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6台</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、体育馆</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1台</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、思源堂</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1台</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、学生公寓楼</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11台</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崇川楼（1台）</w:t>
            </w:r>
          </w:p>
        </w:tc>
      </w:tr>
      <w:tr w14:paraId="2B62D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7197E6B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w:t>
            </w:r>
          </w:p>
        </w:tc>
        <w:tc>
          <w:tcPr>
            <w:tcW w:w="1496" w:type="pct"/>
            <w:vAlign w:val="center"/>
          </w:tcPr>
          <w:p w14:paraId="6E7E6A0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气体灭火控制器</w:t>
            </w:r>
          </w:p>
        </w:tc>
        <w:tc>
          <w:tcPr>
            <w:tcW w:w="786" w:type="pct"/>
            <w:vAlign w:val="center"/>
          </w:tcPr>
          <w:p w14:paraId="59B4B08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2</w:t>
            </w:r>
            <w:r>
              <w:rPr>
                <w:rFonts w:hint="eastAsia" w:asciiTheme="minorEastAsia" w:hAnsiTheme="minorEastAsia" w:eastAsiaTheme="minorEastAsia" w:cstheme="minorEastAsia"/>
                <w:b w:val="0"/>
                <w:bCs w:val="0"/>
                <w:color w:val="auto"/>
                <w:kern w:val="0"/>
                <w:sz w:val="22"/>
                <w:szCs w:val="22"/>
                <w:highlight w:val="none"/>
                <w:lang w:val="en-US" w:eastAsia="zh-CN"/>
              </w:rPr>
              <w:t>组</w:t>
            </w:r>
          </w:p>
        </w:tc>
        <w:tc>
          <w:tcPr>
            <w:tcW w:w="2262" w:type="pct"/>
            <w:vAlign w:val="center"/>
          </w:tcPr>
          <w:p w14:paraId="4ABB038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图文信息中心</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5楼、地下室</w:t>
            </w:r>
            <w:r>
              <w:rPr>
                <w:rFonts w:hint="eastAsia" w:asciiTheme="minorEastAsia" w:hAnsiTheme="minorEastAsia" w:eastAsiaTheme="minorEastAsia" w:cstheme="minorEastAsia"/>
                <w:b w:val="0"/>
                <w:bCs w:val="0"/>
                <w:color w:val="auto"/>
                <w:kern w:val="0"/>
                <w:sz w:val="22"/>
                <w:szCs w:val="22"/>
                <w:highlight w:val="none"/>
                <w:lang w:eastAsia="zh-CN"/>
              </w:rPr>
              <w:t>）</w:t>
            </w:r>
          </w:p>
        </w:tc>
      </w:tr>
      <w:tr w14:paraId="4D515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6CBC406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3</w:t>
            </w:r>
          </w:p>
        </w:tc>
        <w:tc>
          <w:tcPr>
            <w:tcW w:w="1496" w:type="pct"/>
            <w:vAlign w:val="center"/>
          </w:tcPr>
          <w:p w14:paraId="7CD055E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电气火灾监控器</w:t>
            </w:r>
          </w:p>
        </w:tc>
        <w:tc>
          <w:tcPr>
            <w:tcW w:w="786" w:type="pct"/>
            <w:vAlign w:val="center"/>
          </w:tcPr>
          <w:p w14:paraId="2A17161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1台</w:t>
            </w:r>
          </w:p>
        </w:tc>
        <w:tc>
          <w:tcPr>
            <w:tcW w:w="2262" w:type="pct"/>
            <w:vAlign w:val="center"/>
          </w:tcPr>
          <w:p w14:paraId="5FDD82D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消防控制中心</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崇业</w:t>
            </w:r>
            <w:r>
              <w:rPr>
                <w:rFonts w:hint="eastAsia" w:asciiTheme="minorEastAsia" w:hAnsiTheme="minorEastAsia" w:eastAsiaTheme="minorEastAsia" w:cstheme="minorEastAsia"/>
                <w:b w:val="0"/>
                <w:bCs w:val="0"/>
                <w:color w:val="auto"/>
                <w:kern w:val="0"/>
                <w:sz w:val="22"/>
                <w:szCs w:val="22"/>
                <w:highlight w:val="none"/>
              </w:rPr>
              <w:t>楼</w:t>
            </w:r>
            <w:r>
              <w:rPr>
                <w:rFonts w:hint="eastAsia" w:asciiTheme="minorEastAsia" w:hAnsiTheme="minorEastAsia" w:eastAsiaTheme="minorEastAsia" w:cstheme="minorEastAsia"/>
                <w:b w:val="0"/>
                <w:bCs w:val="0"/>
                <w:color w:val="auto"/>
                <w:kern w:val="0"/>
                <w:sz w:val="22"/>
                <w:szCs w:val="22"/>
                <w:highlight w:val="none"/>
                <w:lang w:eastAsia="zh-CN"/>
              </w:rPr>
              <w:t>）</w:t>
            </w:r>
          </w:p>
        </w:tc>
      </w:tr>
      <w:tr w14:paraId="222EB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231DC79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4</w:t>
            </w:r>
          </w:p>
        </w:tc>
        <w:tc>
          <w:tcPr>
            <w:tcW w:w="1496" w:type="pct"/>
            <w:vAlign w:val="center"/>
          </w:tcPr>
          <w:p w14:paraId="1985E34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防火门监控器</w:t>
            </w:r>
          </w:p>
        </w:tc>
        <w:tc>
          <w:tcPr>
            <w:tcW w:w="786" w:type="pct"/>
            <w:vAlign w:val="center"/>
          </w:tcPr>
          <w:p w14:paraId="6AED1E2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1台</w:t>
            </w:r>
          </w:p>
        </w:tc>
        <w:tc>
          <w:tcPr>
            <w:tcW w:w="2262" w:type="pct"/>
            <w:vAlign w:val="center"/>
          </w:tcPr>
          <w:p w14:paraId="66E7FD1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消防控制中心</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崇业</w:t>
            </w:r>
            <w:r>
              <w:rPr>
                <w:rFonts w:hint="eastAsia" w:asciiTheme="minorEastAsia" w:hAnsiTheme="minorEastAsia" w:eastAsiaTheme="minorEastAsia" w:cstheme="minorEastAsia"/>
                <w:b w:val="0"/>
                <w:bCs w:val="0"/>
                <w:color w:val="auto"/>
                <w:kern w:val="0"/>
                <w:sz w:val="22"/>
                <w:szCs w:val="22"/>
                <w:highlight w:val="none"/>
              </w:rPr>
              <w:t>楼</w:t>
            </w:r>
            <w:r>
              <w:rPr>
                <w:rFonts w:hint="eastAsia" w:asciiTheme="minorEastAsia" w:hAnsiTheme="minorEastAsia" w:eastAsiaTheme="minorEastAsia" w:cstheme="minorEastAsia"/>
                <w:b w:val="0"/>
                <w:bCs w:val="0"/>
                <w:color w:val="auto"/>
                <w:kern w:val="0"/>
                <w:sz w:val="22"/>
                <w:szCs w:val="22"/>
                <w:highlight w:val="none"/>
                <w:lang w:eastAsia="zh-CN"/>
              </w:rPr>
              <w:t>）</w:t>
            </w:r>
          </w:p>
        </w:tc>
      </w:tr>
      <w:tr w14:paraId="2F2E2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3214D0A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5</w:t>
            </w:r>
          </w:p>
        </w:tc>
        <w:tc>
          <w:tcPr>
            <w:tcW w:w="1496" w:type="pct"/>
            <w:vAlign w:val="center"/>
          </w:tcPr>
          <w:p w14:paraId="2249004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消防水炮控制台</w:t>
            </w:r>
          </w:p>
        </w:tc>
        <w:tc>
          <w:tcPr>
            <w:tcW w:w="786" w:type="pct"/>
            <w:vAlign w:val="center"/>
          </w:tcPr>
          <w:p w14:paraId="7EF45AE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套</w:t>
            </w:r>
          </w:p>
        </w:tc>
        <w:tc>
          <w:tcPr>
            <w:tcW w:w="2262" w:type="pct"/>
            <w:vAlign w:val="center"/>
          </w:tcPr>
          <w:p w14:paraId="4A587E0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体育馆</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1套</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、礼堂</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1套</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图文信息中心（2套）</w:t>
            </w:r>
          </w:p>
        </w:tc>
      </w:tr>
      <w:tr w14:paraId="70FCF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33D8FEE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6</w:t>
            </w:r>
          </w:p>
        </w:tc>
        <w:tc>
          <w:tcPr>
            <w:tcW w:w="1496" w:type="pct"/>
            <w:vAlign w:val="center"/>
          </w:tcPr>
          <w:p w14:paraId="1775F1A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感烟探测器</w:t>
            </w:r>
          </w:p>
        </w:tc>
        <w:tc>
          <w:tcPr>
            <w:tcW w:w="786" w:type="pct"/>
            <w:vAlign w:val="center"/>
          </w:tcPr>
          <w:p w14:paraId="1B10865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w:t>
            </w:r>
            <w:r>
              <w:rPr>
                <w:rFonts w:hint="eastAsia" w:asciiTheme="minorEastAsia" w:hAnsiTheme="minorEastAsia" w:eastAsiaTheme="minorEastAsia" w:cstheme="minorEastAsia"/>
                <w:b w:val="0"/>
                <w:bCs w:val="0"/>
                <w:color w:val="auto"/>
                <w:kern w:val="0"/>
                <w:sz w:val="22"/>
                <w:szCs w:val="22"/>
                <w:highlight w:val="none"/>
              </w:rPr>
              <w:t>4862套</w:t>
            </w:r>
          </w:p>
        </w:tc>
        <w:tc>
          <w:tcPr>
            <w:tcW w:w="2262" w:type="pct"/>
            <w:vAlign w:val="center"/>
          </w:tcPr>
          <w:p w14:paraId="57CD3A16">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6611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49B6AE3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7</w:t>
            </w:r>
          </w:p>
        </w:tc>
        <w:tc>
          <w:tcPr>
            <w:tcW w:w="1496" w:type="pct"/>
            <w:vAlign w:val="center"/>
          </w:tcPr>
          <w:p w14:paraId="6FDDC00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感温探测器</w:t>
            </w:r>
          </w:p>
        </w:tc>
        <w:tc>
          <w:tcPr>
            <w:tcW w:w="786" w:type="pct"/>
            <w:vAlign w:val="center"/>
          </w:tcPr>
          <w:p w14:paraId="5B17D55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w:t>
            </w:r>
            <w:r>
              <w:rPr>
                <w:rFonts w:hint="eastAsia" w:asciiTheme="minorEastAsia" w:hAnsiTheme="minorEastAsia" w:eastAsiaTheme="minorEastAsia" w:cstheme="minorEastAsia"/>
                <w:b w:val="0"/>
                <w:bCs w:val="0"/>
                <w:color w:val="auto"/>
                <w:kern w:val="0"/>
                <w:sz w:val="22"/>
                <w:szCs w:val="22"/>
                <w:highlight w:val="none"/>
              </w:rPr>
              <w:t>215套</w:t>
            </w:r>
          </w:p>
        </w:tc>
        <w:tc>
          <w:tcPr>
            <w:tcW w:w="2262" w:type="pct"/>
            <w:vAlign w:val="center"/>
          </w:tcPr>
          <w:p w14:paraId="4B8A2C3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3F9EC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4" w:type="pct"/>
            <w:vAlign w:val="center"/>
          </w:tcPr>
          <w:p w14:paraId="42CFFF1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8</w:t>
            </w:r>
          </w:p>
        </w:tc>
        <w:tc>
          <w:tcPr>
            <w:tcW w:w="1496" w:type="pct"/>
            <w:vAlign w:val="center"/>
          </w:tcPr>
          <w:p w14:paraId="42F34F7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手动报警按钮</w:t>
            </w:r>
          </w:p>
        </w:tc>
        <w:tc>
          <w:tcPr>
            <w:tcW w:w="786" w:type="pct"/>
            <w:vAlign w:val="center"/>
          </w:tcPr>
          <w:p w14:paraId="0F827C5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约500</w:t>
            </w:r>
            <w:r>
              <w:rPr>
                <w:rFonts w:hint="eastAsia" w:asciiTheme="minorEastAsia" w:hAnsiTheme="minorEastAsia" w:eastAsiaTheme="minorEastAsia" w:cstheme="minorEastAsia"/>
                <w:b w:val="0"/>
                <w:bCs w:val="0"/>
                <w:color w:val="auto"/>
                <w:kern w:val="0"/>
                <w:sz w:val="22"/>
                <w:szCs w:val="22"/>
                <w:highlight w:val="none"/>
              </w:rPr>
              <w:t>套</w:t>
            </w:r>
          </w:p>
        </w:tc>
        <w:tc>
          <w:tcPr>
            <w:tcW w:w="2262" w:type="pct"/>
            <w:vAlign w:val="center"/>
          </w:tcPr>
          <w:p w14:paraId="44CE2B1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6E397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7ADC767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9</w:t>
            </w:r>
          </w:p>
        </w:tc>
        <w:tc>
          <w:tcPr>
            <w:tcW w:w="1496" w:type="pct"/>
            <w:vAlign w:val="center"/>
          </w:tcPr>
          <w:p w14:paraId="1CFCB88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消火栓按钮</w:t>
            </w:r>
          </w:p>
        </w:tc>
        <w:tc>
          <w:tcPr>
            <w:tcW w:w="786" w:type="pct"/>
            <w:vAlign w:val="center"/>
          </w:tcPr>
          <w:p w14:paraId="18D1ED7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约1700</w:t>
            </w:r>
            <w:r>
              <w:rPr>
                <w:rFonts w:hint="eastAsia" w:asciiTheme="minorEastAsia" w:hAnsiTheme="minorEastAsia" w:eastAsiaTheme="minorEastAsia" w:cstheme="minorEastAsia"/>
                <w:b w:val="0"/>
                <w:bCs w:val="0"/>
                <w:color w:val="auto"/>
                <w:kern w:val="0"/>
                <w:sz w:val="22"/>
                <w:szCs w:val="22"/>
                <w:highlight w:val="none"/>
              </w:rPr>
              <w:t>只</w:t>
            </w:r>
          </w:p>
        </w:tc>
        <w:tc>
          <w:tcPr>
            <w:tcW w:w="2262" w:type="pct"/>
            <w:vAlign w:val="center"/>
          </w:tcPr>
          <w:p w14:paraId="61988DC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5C9FC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56AF3BB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10</w:t>
            </w:r>
          </w:p>
        </w:tc>
        <w:tc>
          <w:tcPr>
            <w:tcW w:w="1496" w:type="pct"/>
            <w:vAlign w:val="center"/>
          </w:tcPr>
          <w:p w14:paraId="7F89956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消火栓箱</w:t>
            </w:r>
          </w:p>
        </w:tc>
        <w:tc>
          <w:tcPr>
            <w:tcW w:w="786" w:type="pct"/>
            <w:vAlign w:val="center"/>
          </w:tcPr>
          <w:p w14:paraId="4532E06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w:t>
            </w:r>
            <w:r>
              <w:rPr>
                <w:rFonts w:hint="eastAsia" w:asciiTheme="minorEastAsia" w:hAnsiTheme="minorEastAsia" w:eastAsiaTheme="minorEastAsia" w:cstheme="minorEastAsia"/>
                <w:b w:val="0"/>
                <w:bCs w:val="0"/>
                <w:color w:val="auto"/>
                <w:kern w:val="0"/>
                <w:sz w:val="22"/>
                <w:szCs w:val="22"/>
                <w:highlight w:val="none"/>
              </w:rPr>
              <w:t>1</w:t>
            </w:r>
            <w:r>
              <w:rPr>
                <w:rFonts w:hint="eastAsia" w:asciiTheme="minorEastAsia" w:hAnsiTheme="minorEastAsia" w:eastAsiaTheme="minorEastAsia" w:cstheme="minorEastAsia"/>
                <w:b w:val="0"/>
                <w:bCs w:val="0"/>
                <w:color w:val="auto"/>
                <w:kern w:val="0"/>
                <w:sz w:val="22"/>
                <w:szCs w:val="22"/>
                <w:highlight w:val="none"/>
                <w:lang w:val="en-US" w:eastAsia="zh-CN"/>
              </w:rPr>
              <w:t>700</w:t>
            </w:r>
            <w:r>
              <w:rPr>
                <w:rFonts w:hint="eastAsia" w:asciiTheme="minorEastAsia" w:hAnsiTheme="minorEastAsia" w:eastAsiaTheme="minorEastAsia" w:cstheme="minorEastAsia"/>
                <w:b w:val="0"/>
                <w:bCs w:val="0"/>
                <w:color w:val="auto"/>
                <w:kern w:val="0"/>
                <w:sz w:val="22"/>
                <w:szCs w:val="22"/>
                <w:highlight w:val="none"/>
              </w:rPr>
              <w:t>只</w:t>
            </w:r>
          </w:p>
        </w:tc>
        <w:tc>
          <w:tcPr>
            <w:tcW w:w="2262" w:type="pct"/>
            <w:vAlign w:val="center"/>
          </w:tcPr>
          <w:p w14:paraId="30D4BE9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各楼宇</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含学生宿舍</w:t>
            </w:r>
            <w:r>
              <w:rPr>
                <w:rFonts w:hint="eastAsia" w:asciiTheme="minorEastAsia" w:hAnsiTheme="minorEastAsia" w:eastAsiaTheme="minorEastAsia" w:cstheme="minorEastAsia"/>
                <w:b w:val="0"/>
                <w:bCs w:val="0"/>
                <w:color w:val="auto"/>
                <w:kern w:val="0"/>
                <w:sz w:val="22"/>
                <w:szCs w:val="22"/>
                <w:highlight w:val="none"/>
                <w:lang w:eastAsia="zh-CN"/>
              </w:rPr>
              <w:t>）</w:t>
            </w:r>
          </w:p>
        </w:tc>
      </w:tr>
      <w:tr w14:paraId="45F8D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6EAB177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11</w:t>
            </w:r>
          </w:p>
        </w:tc>
        <w:tc>
          <w:tcPr>
            <w:tcW w:w="1496" w:type="pct"/>
            <w:vAlign w:val="center"/>
          </w:tcPr>
          <w:p w14:paraId="629EB0D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输入输出模块</w:t>
            </w:r>
          </w:p>
        </w:tc>
        <w:tc>
          <w:tcPr>
            <w:tcW w:w="786" w:type="pct"/>
            <w:vAlign w:val="center"/>
          </w:tcPr>
          <w:p w14:paraId="39703A1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478只</w:t>
            </w:r>
          </w:p>
        </w:tc>
        <w:tc>
          <w:tcPr>
            <w:tcW w:w="2262" w:type="pct"/>
            <w:vAlign w:val="center"/>
          </w:tcPr>
          <w:p w14:paraId="2D21C4D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2DF12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0527BF3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12</w:t>
            </w:r>
          </w:p>
        </w:tc>
        <w:tc>
          <w:tcPr>
            <w:tcW w:w="1496" w:type="pct"/>
            <w:vAlign w:val="center"/>
          </w:tcPr>
          <w:p w14:paraId="7C030FD6">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输入模块</w:t>
            </w:r>
          </w:p>
        </w:tc>
        <w:tc>
          <w:tcPr>
            <w:tcW w:w="786" w:type="pct"/>
            <w:vAlign w:val="center"/>
          </w:tcPr>
          <w:p w14:paraId="5C64E7F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229只</w:t>
            </w:r>
          </w:p>
        </w:tc>
        <w:tc>
          <w:tcPr>
            <w:tcW w:w="2262" w:type="pct"/>
            <w:vAlign w:val="center"/>
          </w:tcPr>
          <w:p w14:paraId="7B7F9EB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16132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3134B62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13</w:t>
            </w:r>
          </w:p>
        </w:tc>
        <w:tc>
          <w:tcPr>
            <w:tcW w:w="1496" w:type="pct"/>
            <w:vAlign w:val="center"/>
          </w:tcPr>
          <w:p w14:paraId="1842C9D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多线模块（含切换模块）</w:t>
            </w:r>
          </w:p>
        </w:tc>
        <w:tc>
          <w:tcPr>
            <w:tcW w:w="786" w:type="pct"/>
            <w:vAlign w:val="center"/>
          </w:tcPr>
          <w:p w14:paraId="54C5D7F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50只</w:t>
            </w:r>
          </w:p>
        </w:tc>
        <w:tc>
          <w:tcPr>
            <w:tcW w:w="2262" w:type="pct"/>
            <w:vAlign w:val="center"/>
          </w:tcPr>
          <w:p w14:paraId="3A45C35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64A8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62E5485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14</w:t>
            </w:r>
          </w:p>
        </w:tc>
        <w:tc>
          <w:tcPr>
            <w:tcW w:w="1496" w:type="pct"/>
            <w:vAlign w:val="center"/>
          </w:tcPr>
          <w:p w14:paraId="4AEB15E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消防泵</w:t>
            </w:r>
          </w:p>
        </w:tc>
        <w:tc>
          <w:tcPr>
            <w:tcW w:w="786" w:type="pct"/>
            <w:vAlign w:val="center"/>
          </w:tcPr>
          <w:p w14:paraId="6759DAD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6台</w:t>
            </w:r>
          </w:p>
        </w:tc>
        <w:tc>
          <w:tcPr>
            <w:tcW w:w="2262" w:type="pct"/>
            <w:vMerge w:val="restart"/>
            <w:vAlign w:val="center"/>
          </w:tcPr>
          <w:p w14:paraId="755D791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第三实训楼</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水上训练中心西南侧地下室</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w:t>
            </w:r>
            <w:r>
              <w:rPr>
                <w:rFonts w:hint="eastAsia" w:asciiTheme="minorEastAsia" w:hAnsiTheme="minorEastAsia" w:eastAsiaTheme="minorEastAsia" w:cstheme="minorEastAsia"/>
                <w:b w:val="0"/>
                <w:bCs w:val="0"/>
                <w:color w:val="auto"/>
                <w:kern w:val="0"/>
                <w:sz w:val="22"/>
                <w:szCs w:val="22"/>
                <w:highlight w:val="none"/>
                <w:lang w:val="en-US" w:eastAsia="zh-CN"/>
              </w:rPr>
              <w:t>崇文楼（地下室）、崇海楼南侧</w:t>
            </w:r>
            <w:r>
              <w:rPr>
                <w:rFonts w:hint="eastAsia" w:asciiTheme="minorEastAsia" w:hAnsiTheme="minorEastAsia" w:eastAsiaTheme="minorEastAsia" w:cstheme="minorEastAsia"/>
                <w:b w:val="0"/>
                <w:bCs w:val="0"/>
                <w:color w:val="auto"/>
                <w:kern w:val="0"/>
                <w:sz w:val="22"/>
                <w:szCs w:val="22"/>
                <w:highlight w:val="none"/>
              </w:rPr>
              <w:t>、体育馆</w:t>
            </w:r>
            <w:r>
              <w:rPr>
                <w:rFonts w:hint="eastAsia" w:asciiTheme="minorEastAsia" w:hAnsiTheme="minorEastAsia" w:eastAsiaTheme="minorEastAsia" w:cstheme="minorEastAsia"/>
                <w:b w:val="0"/>
                <w:bCs w:val="0"/>
                <w:color w:val="auto"/>
                <w:kern w:val="0"/>
                <w:sz w:val="22"/>
                <w:szCs w:val="22"/>
                <w:highlight w:val="none"/>
                <w:lang w:val="en-US" w:eastAsia="zh-CN"/>
              </w:rPr>
              <w:t>西北侧</w:t>
            </w:r>
            <w:r>
              <w:rPr>
                <w:rFonts w:hint="eastAsia" w:asciiTheme="minorEastAsia" w:hAnsiTheme="minorEastAsia" w:eastAsiaTheme="minorEastAsia" w:cstheme="minorEastAsia"/>
                <w:b w:val="0"/>
                <w:bCs w:val="0"/>
                <w:color w:val="auto"/>
                <w:kern w:val="0"/>
                <w:sz w:val="22"/>
                <w:szCs w:val="22"/>
                <w:highlight w:val="none"/>
              </w:rPr>
              <w:t>、图文信息</w:t>
            </w:r>
            <w:r>
              <w:rPr>
                <w:rFonts w:hint="eastAsia" w:asciiTheme="minorEastAsia" w:hAnsiTheme="minorEastAsia" w:eastAsiaTheme="minorEastAsia" w:cstheme="minorEastAsia"/>
                <w:b w:val="0"/>
                <w:bCs w:val="0"/>
                <w:color w:val="auto"/>
                <w:kern w:val="0"/>
                <w:sz w:val="22"/>
                <w:szCs w:val="22"/>
                <w:highlight w:val="none"/>
                <w:lang w:val="en-US" w:eastAsia="zh-CN"/>
              </w:rPr>
              <w:t>中心（地下室）</w:t>
            </w:r>
          </w:p>
        </w:tc>
      </w:tr>
      <w:tr w14:paraId="5FF69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43FF56F6">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15</w:t>
            </w:r>
          </w:p>
        </w:tc>
        <w:tc>
          <w:tcPr>
            <w:tcW w:w="1496" w:type="pct"/>
            <w:vAlign w:val="center"/>
          </w:tcPr>
          <w:p w14:paraId="63A5C0C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喷淋泵</w:t>
            </w:r>
          </w:p>
        </w:tc>
        <w:tc>
          <w:tcPr>
            <w:tcW w:w="786" w:type="pct"/>
            <w:vAlign w:val="center"/>
          </w:tcPr>
          <w:p w14:paraId="77A1F2E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6台</w:t>
            </w:r>
          </w:p>
        </w:tc>
        <w:tc>
          <w:tcPr>
            <w:tcW w:w="2262" w:type="pct"/>
            <w:vMerge w:val="continue"/>
            <w:vAlign w:val="center"/>
          </w:tcPr>
          <w:p w14:paraId="04059593">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p>
        </w:tc>
      </w:tr>
      <w:tr w14:paraId="21B6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1990D0C6">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16</w:t>
            </w:r>
          </w:p>
        </w:tc>
        <w:tc>
          <w:tcPr>
            <w:tcW w:w="1496" w:type="pct"/>
            <w:vAlign w:val="center"/>
          </w:tcPr>
          <w:p w14:paraId="639F22F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雨淋泵</w:t>
            </w:r>
          </w:p>
        </w:tc>
        <w:tc>
          <w:tcPr>
            <w:tcW w:w="786" w:type="pct"/>
            <w:vAlign w:val="center"/>
          </w:tcPr>
          <w:p w14:paraId="185F4AC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2台</w:t>
            </w:r>
          </w:p>
        </w:tc>
        <w:tc>
          <w:tcPr>
            <w:tcW w:w="2262" w:type="pct"/>
            <w:vMerge w:val="continue"/>
            <w:vAlign w:val="center"/>
          </w:tcPr>
          <w:p w14:paraId="3661F8E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p>
        </w:tc>
      </w:tr>
      <w:tr w14:paraId="6361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171F001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17</w:t>
            </w:r>
          </w:p>
        </w:tc>
        <w:tc>
          <w:tcPr>
            <w:tcW w:w="1496" w:type="pct"/>
            <w:vAlign w:val="center"/>
          </w:tcPr>
          <w:p w14:paraId="5CD5DC8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稳压泵</w:t>
            </w:r>
          </w:p>
        </w:tc>
        <w:tc>
          <w:tcPr>
            <w:tcW w:w="786" w:type="pct"/>
            <w:vAlign w:val="center"/>
          </w:tcPr>
          <w:p w14:paraId="67A8C95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12台</w:t>
            </w:r>
          </w:p>
        </w:tc>
        <w:tc>
          <w:tcPr>
            <w:tcW w:w="2262" w:type="pct"/>
            <w:vMerge w:val="continue"/>
            <w:vAlign w:val="center"/>
          </w:tcPr>
          <w:p w14:paraId="1AFC43C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p>
        </w:tc>
      </w:tr>
      <w:tr w14:paraId="69CB5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517E9B1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18</w:t>
            </w:r>
          </w:p>
        </w:tc>
        <w:tc>
          <w:tcPr>
            <w:tcW w:w="1496" w:type="pct"/>
            <w:vAlign w:val="center"/>
          </w:tcPr>
          <w:p w14:paraId="18BE711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防火卷帘门</w:t>
            </w:r>
          </w:p>
        </w:tc>
        <w:tc>
          <w:tcPr>
            <w:tcW w:w="786" w:type="pct"/>
            <w:vAlign w:val="center"/>
          </w:tcPr>
          <w:p w14:paraId="2FEDE39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50套</w:t>
            </w:r>
          </w:p>
        </w:tc>
        <w:tc>
          <w:tcPr>
            <w:tcW w:w="2262" w:type="pct"/>
            <w:vAlign w:val="center"/>
          </w:tcPr>
          <w:p w14:paraId="343E24A6">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图文信息中心、崇川楼、学生宿舍楼</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J、K楼</w:t>
            </w:r>
            <w:r>
              <w:rPr>
                <w:rFonts w:hint="eastAsia" w:asciiTheme="minorEastAsia" w:hAnsiTheme="minorEastAsia" w:eastAsiaTheme="minorEastAsia" w:cstheme="minorEastAsia"/>
                <w:b w:val="0"/>
                <w:bCs w:val="0"/>
                <w:color w:val="auto"/>
                <w:kern w:val="0"/>
                <w:sz w:val="22"/>
                <w:szCs w:val="22"/>
                <w:highlight w:val="none"/>
                <w:lang w:eastAsia="zh-CN"/>
              </w:rPr>
              <w:t>）</w:t>
            </w:r>
          </w:p>
        </w:tc>
      </w:tr>
      <w:tr w14:paraId="69CFD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2F8F576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19</w:t>
            </w:r>
          </w:p>
        </w:tc>
        <w:tc>
          <w:tcPr>
            <w:tcW w:w="1496" w:type="pct"/>
            <w:vAlign w:val="center"/>
          </w:tcPr>
          <w:p w14:paraId="06E9969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消防水池</w:t>
            </w:r>
          </w:p>
        </w:tc>
        <w:tc>
          <w:tcPr>
            <w:tcW w:w="786" w:type="pct"/>
          </w:tcPr>
          <w:p w14:paraId="3552BF9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rPr>
              <w:t>处</w:t>
            </w:r>
          </w:p>
        </w:tc>
        <w:tc>
          <w:tcPr>
            <w:tcW w:w="2262" w:type="pct"/>
          </w:tcPr>
          <w:p w14:paraId="455DC50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第三实训楼</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水上训练中心西南侧地下室</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w:t>
            </w:r>
            <w:r>
              <w:rPr>
                <w:rFonts w:hint="eastAsia" w:asciiTheme="minorEastAsia" w:hAnsiTheme="minorEastAsia" w:eastAsiaTheme="minorEastAsia" w:cstheme="minorEastAsia"/>
                <w:b w:val="0"/>
                <w:bCs w:val="0"/>
                <w:color w:val="auto"/>
                <w:kern w:val="0"/>
                <w:sz w:val="22"/>
                <w:szCs w:val="22"/>
                <w:highlight w:val="none"/>
                <w:lang w:val="en-US" w:eastAsia="zh-CN"/>
              </w:rPr>
              <w:t>崇文楼（地下室）、崇海楼南侧</w:t>
            </w:r>
            <w:r>
              <w:rPr>
                <w:rFonts w:hint="eastAsia" w:asciiTheme="minorEastAsia" w:hAnsiTheme="minorEastAsia" w:eastAsiaTheme="minorEastAsia" w:cstheme="minorEastAsia"/>
                <w:b w:val="0"/>
                <w:bCs w:val="0"/>
                <w:color w:val="auto"/>
                <w:kern w:val="0"/>
                <w:sz w:val="22"/>
                <w:szCs w:val="22"/>
                <w:highlight w:val="none"/>
              </w:rPr>
              <w:t>、体育馆</w:t>
            </w:r>
            <w:r>
              <w:rPr>
                <w:rFonts w:hint="eastAsia" w:asciiTheme="minorEastAsia" w:hAnsiTheme="minorEastAsia" w:eastAsiaTheme="minorEastAsia" w:cstheme="minorEastAsia"/>
                <w:b w:val="0"/>
                <w:bCs w:val="0"/>
                <w:color w:val="auto"/>
                <w:kern w:val="0"/>
                <w:sz w:val="22"/>
                <w:szCs w:val="22"/>
                <w:highlight w:val="none"/>
                <w:lang w:val="en-US" w:eastAsia="zh-CN"/>
              </w:rPr>
              <w:t>西北侧</w:t>
            </w:r>
            <w:r>
              <w:rPr>
                <w:rFonts w:hint="eastAsia" w:asciiTheme="minorEastAsia" w:hAnsiTheme="minorEastAsia" w:eastAsiaTheme="minorEastAsia" w:cstheme="minorEastAsia"/>
                <w:b w:val="0"/>
                <w:bCs w:val="0"/>
                <w:color w:val="auto"/>
                <w:kern w:val="0"/>
                <w:sz w:val="22"/>
                <w:szCs w:val="22"/>
                <w:highlight w:val="none"/>
              </w:rPr>
              <w:t>、图文信息</w:t>
            </w:r>
            <w:r>
              <w:rPr>
                <w:rFonts w:hint="eastAsia" w:asciiTheme="minorEastAsia" w:hAnsiTheme="minorEastAsia" w:eastAsiaTheme="minorEastAsia" w:cstheme="minorEastAsia"/>
                <w:b w:val="0"/>
                <w:bCs w:val="0"/>
                <w:color w:val="auto"/>
                <w:kern w:val="0"/>
                <w:sz w:val="22"/>
                <w:szCs w:val="22"/>
                <w:highlight w:val="none"/>
                <w:lang w:val="en-US" w:eastAsia="zh-CN"/>
              </w:rPr>
              <w:t>中心（地下室）</w:t>
            </w:r>
          </w:p>
        </w:tc>
      </w:tr>
      <w:tr w14:paraId="04E26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0661E799">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20</w:t>
            </w:r>
          </w:p>
        </w:tc>
        <w:tc>
          <w:tcPr>
            <w:tcW w:w="1496" w:type="pct"/>
            <w:vAlign w:val="center"/>
          </w:tcPr>
          <w:p w14:paraId="79CA52A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高位水箱</w:t>
            </w:r>
          </w:p>
        </w:tc>
        <w:tc>
          <w:tcPr>
            <w:tcW w:w="786" w:type="pct"/>
          </w:tcPr>
          <w:p w14:paraId="3C986B4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4处</w:t>
            </w:r>
          </w:p>
        </w:tc>
        <w:tc>
          <w:tcPr>
            <w:tcW w:w="2262" w:type="pct"/>
          </w:tcPr>
          <w:p w14:paraId="0313187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图文信息</w:t>
            </w:r>
            <w:r>
              <w:rPr>
                <w:rFonts w:hint="eastAsia" w:asciiTheme="minorEastAsia" w:hAnsiTheme="minorEastAsia" w:eastAsiaTheme="minorEastAsia" w:cstheme="minorEastAsia"/>
                <w:b w:val="0"/>
                <w:bCs w:val="0"/>
                <w:color w:val="auto"/>
                <w:kern w:val="0"/>
                <w:sz w:val="22"/>
                <w:szCs w:val="22"/>
                <w:highlight w:val="none"/>
                <w:lang w:val="en-US" w:eastAsia="zh-CN"/>
              </w:rPr>
              <w:t>中心、体育馆北侧3楼、思源堂屋顶、第三实训楼屋顶东北侧</w:t>
            </w:r>
          </w:p>
        </w:tc>
      </w:tr>
      <w:tr w14:paraId="33668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07A4320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21</w:t>
            </w:r>
          </w:p>
        </w:tc>
        <w:tc>
          <w:tcPr>
            <w:tcW w:w="1496" w:type="pct"/>
            <w:vAlign w:val="center"/>
          </w:tcPr>
          <w:p w14:paraId="17E7E1D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防排烟风机</w:t>
            </w:r>
          </w:p>
        </w:tc>
        <w:tc>
          <w:tcPr>
            <w:tcW w:w="786" w:type="pct"/>
          </w:tcPr>
          <w:p w14:paraId="6DF81BD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36台</w:t>
            </w:r>
          </w:p>
        </w:tc>
        <w:tc>
          <w:tcPr>
            <w:tcW w:w="2262" w:type="pct"/>
          </w:tcPr>
          <w:p w14:paraId="0AF9955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体育馆、礼堂、图文信息</w:t>
            </w:r>
            <w:r>
              <w:rPr>
                <w:rFonts w:hint="eastAsia" w:asciiTheme="minorEastAsia" w:hAnsiTheme="minorEastAsia" w:eastAsiaTheme="minorEastAsia" w:cstheme="minorEastAsia"/>
                <w:b w:val="0"/>
                <w:bCs w:val="0"/>
                <w:color w:val="auto"/>
                <w:kern w:val="0"/>
                <w:sz w:val="22"/>
                <w:szCs w:val="22"/>
                <w:highlight w:val="none"/>
                <w:lang w:val="en-US" w:eastAsia="zh-CN"/>
              </w:rPr>
              <w:t>中心、崇文楼</w:t>
            </w:r>
          </w:p>
        </w:tc>
      </w:tr>
      <w:tr w14:paraId="5FAEE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61BC694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22</w:t>
            </w:r>
          </w:p>
        </w:tc>
        <w:tc>
          <w:tcPr>
            <w:tcW w:w="1496" w:type="pct"/>
            <w:vAlign w:val="center"/>
          </w:tcPr>
          <w:p w14:paraId="6A527F9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应急照明灯</w:t>
            </w:r>
          </w:p>
        </w:tc>
        <w:tc>
          <w:tcPr>
            <w:tcW w:w="786" w:type="pct"/>
            <w:vAlign w:val="center"/>
          </w:tcPr>
          <w:p w14:paraId="5FB4DBA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约3000个</w:t>
            </w:r>
          </w:p>
        </w:tc>
        <w:tc>
          <w:tcPr>
            <w:tcW w:w="2262" w:type="pct"/>
            <w:vAlign w:val="center"/>
          </w:tcPr>
          <w:p w14:paraId="73B52CD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0B79F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06AF44B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23</w:t>
            </w:r>
          </w:p>
        </w:tc>
        <w:tc>
          <w:tcPr>
            <w:tcW w:w="1496" w:type="pct"/>
            <w:vAlign w:val="center"/>
          </w:tcPr>
          <w:p w14:paraId="47FBD07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疏散指示灯</w:t>
            </w:r>
          </w:p>
        </w:tc>
        <w:tc>
          <w:tcPr>
            <w:tcW w:w="786" w:type="pct"/>
            <w:vAlign w:val="center"/>
          </w:tcPr>
          <w:p w14:paraId="1A55E566">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约3000个</w:t>
            </w:r>
          </w:p>
        </w:tc>
        <w:tc>
          <w:tcPr>
            <w:tcW w:w="2262" w:type="pct"/>
            <w:vAlign w:val="center"/>
          </w:tcPr>
          <w:p w14:paraId="45A7769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64115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4" w:type="pct"/>
            <w:vAlign w:val="center"/>
          </w:tcPr>
          <w:p w14:paraId="5548E78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24</w:t>
            </w:r>
          </w:p>
        </w:tc>
        <w:tc>
          <w:tcPr>
            <w:tcW w:w="1496" w:type="pct"/>
          </w:tcPr>
          <w:p w14:paraId="468D950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消防灭火器</w:t>
            </w:r>
          </w:p>
        </w:tc>
        <w:tc>
          <w:tcPr>
            <w:tcW w:w="786" w:type="pct"/>
          </w:tcPr>
          <w:p w14:paraId="1EDF112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约30</w:t>
            </w:r>
            <w:r>
              <w:rPr>
                <w:rFonts w:hint="eastAsia" w:asciiTheme="minorEastAsia" w:hAnsiTheme="minorEastAsia" w:eastAsiaTheme="minorEastAsia" w:cstheme="minorEastAsia"/>
                <w:b w:val="0"/>
                <w:bCs w:val="0"/>
                <w:color w:val="auto"/>
                <w:kern w:val="0"/>
                <w:sz w:val="22"/>
                <w:szCs w:val="22"/>
                <w:highlight w:val="none"/>
              </w:rPr>
              <w:t>00</w:t>
            </w:r>
            <w:r>
              <w:rPr>
                <w:rFonts w:hint="eastAsia" w:asciiTheme="minorEastAsia" w:hAnsiTheme="minorEastAsia" w:eastAsiaTheme="minorEastAsia" w:cstheme="minorEastAsia"/>
                <w:b w:val="0"/>
                <w:bCs w:val="0"/>
                <w:color w:val="auto"/>
                <w:kern w:val="0"/>
                <w:sz w:val="22"/>
                <w:szCs w:val="22"/>
                <w:highlight w:val="none"/>
                <w:lang w:val="en-US" w:eastAsia="zh-CN"/>
              </w:rPr>
              <w:t>个</w:t>
            </w:r>
          </w:p>
        </w:tc>
        <w:tc>
          <w:tcPr>
            <w:tcW w:w="2262" w:type="pct"/>
          </w:tcPr>
          <w:p w14:paraId="0341900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4D528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4" w:type="pct"/>
            <w:vAlign w:val="center"/>
          </w:tcPr>
          <w:p w14:paraId="4DA88ED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25</w:t>
            </w:r>
          </w:p>
        </w:tc>
        <w:tc>
          <w:tcPr>
            <w:tcW w:w="1496" w:type="pct"/>
          </w:tcPr>
          <w:p w14:paraId="6884108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消防链接水带</w:t>
            </w:r>
          </w:p>
        </w:tc>
        <w:tc>
          <w:tcPr>
            <w:tcW w:w="786" w:type="pct"/>
          </w:tcPr>
          <w:p w14:paraId="318E4F9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w:t>
            </w:r>
            <w:r>
              <w:rPr>
                <w:rFonts w:hint="eastAsia" w:asciiTheme="minorEastAsia" w:hAnsiTheme="minorEastAsia" w:eastAsiaTheme="minorEastAsia" w:cstheme="minorEastAsia"/>
                <w:b w:val="0"/>
                <w:bCs w:val="0"/>
                <w:color w:val="auto"/>
                <w:kern w:val="0"/>
                <w:sz w:val="22"/>
                <w:szCs w:val="22"/>
                <w:highlight w:val="none"/>
              </w:rPr>
              <w:t>1</w:t>
            </w:r>
            <w:r>
              <w:rPr>
                <w:rFonts w:hint="eastAsia" w:asciiTheme="minorEastAsia" w:hAnsiTheme="minorEastAsia" w:eastAsiaTheme="minorEastAsia" w:cstheme="minorEastAsia"/>
                <w:b w:val="0"/>
                <w:bCs w:val="0"/>
                <w:color w:val="auto"/>
                <w:kern w:val="0"/>
                <w:sz w:val="22"/>
                <w:szCs w:val="22"/>
                <w:highlight w:val="none"/>
                <w:lang w:val="en-US" w:eastAsia="zh-CN"/>
              </w:rPr>
              <w:t>700</w:t>
            </w:r>
            <w:r>
              <w:rPr>
                <w:rFonts w:hint="eastAsia" w:asciiTheme="minorEastAsia" w:hAnsiTheme="minorEastAsia" w:eastAsiaTheme="minorEastAsia" w:cstheme="minorEastAsia"/>
                <w:b w:val="0"/>
                <w:bCs w:val="0"/>
                <w:color w:val="auto"/>
                <w:kern w:val="0"/>
                <w:sz w:val="22"/>
                <w:szCs w:val="22"/>
                <w:highlight w:val="none"/>
              </w:rPr>
              <w:t>卷</w:t>
            </w:r>
          </w:p>
        </w:tc>
        <w:tc>
          <w:tcPr>
            <w:tcW w:w="2262" w:type="pct"/>
          </w:tcPr>
          <w:p w14:paraId="0A26387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bl>
    <w:p w14:paraId="3F6003AE">
      <w:pPr>
        <w:keepNext w:val="0"/>
        <w:keepLines w:val="0"/>
        <w:pageBreakBefore w:val="0"/>
        <w:widowControl/>
        <w:kinsoku/>
        <w:wordWrap/>
        <w:overflowPunct/>
        <w:topLinePunct w:val="0"/>
        <w:autoSpaceDE/>
        <w:autoSpaceDN/>
        <w:bidi w:val="0"/>
        <w:adjustRightInd/>
        <w:spacing w:line="420" w:lineRule="exact"/>
        <w:ind w:firstLine="560" w:firstLineChars="200"/>
        <w:jc w:val="left"/>
        <w:textAlignment w:val="auto"/>
        <w:rPr>
          <w:rFonts w:hint="eastAsia" w:asciiTheme="minorEastAsia" w:hAnsiTheme="minorEastAsia" w:eastAsiaTheme="minorEastAsia" w:cstheme="minorEastAsia"/>
          <w:color w:val="auto"/>
          <w:kern w:val="0"/>
          <w:sz w:val="28"/>
          <w:szCs w:val="28"/>
          <w:highlight w:val="none"/>
          <w:lang w:val="en-US" w:eastAsia="zh-CN"/>
        </w:rPr>
      </w:pPr>
      <w:r>
        <w:rPr>
          <w:rFonts w:hint="eastAsia" w:asciiTheme="minorEastAsia" w:hAnsiTheme="minorEastAsia" w:eastAsiaTheme="minorEastAsia" w:cstheme="minorEastAsia"/>
          <w:color w:val="auto"/>
          <w:kern w:val="0"/>
          <w:sz w:val="28"/>
          <w:szCs w:val="28"/>
          <w:highlight w:val="none"/>
          <w:lang w:val="en-US" w:eastAsia="zh-CN"/>
        </w:rPr>
        <w:t>注：</w:t>
      </w:r>
    </w:p>
    <w:p w14:paraId="39D1D561">
      <w:pPr>
        <w:keepNext w:val="0"/>
        <w:keepLines w:val="0"/>
        <w:pageBreakBefore w:val="0"/>
        <w:widowControl/>
        <w:kinsoku/>
        <w:wordWrap/>
        <w:overflowPunct/>
        <w:topLinePunct w:val="0"/>
        <w:autoSpaceDE/>
        <w:autoSpaceDN/>
        <w:bidi w:val="0"/>
        <w:adjustRightInd/>
        <w:spacing w:line="42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0"/>
          <w:sz w:val="28"/>
          <w:szCs w:val="28"/>
          <w:highlight w:val="none"/>
          <w:lang w:val="en-US" w:eastAsia="zh-CN"/>
        </w:rPr>
        <w:t>1、</w:t>
      </w:r>
      <w:r>
        <w:rPr>
          <w:rFonts w:hint="eastAsia" w:asciiTheme="minorEastAsia" w:hAnsiTheme="minorEastAsia" w:eastAsiaTheme="minorEastAsia" w:cstheme="minorEastAsia"/>
          <w:color w:val="auto"/>
          <w:kern w:val="0"/>
          <w:sz w:val="28"/>
          <w:szCs w:val="28"/>
          <w:highlight w:val="none"/>
        </w:rPr>
        <w:t>投标人在投标前须踏勘现场，</w:t>
      </w:r>
      <w:r>
        <w:rPr>
          <w:rFonts w:hint="eastAsia" w:asciiTheme="minorEastAsia" w:hAnsiTheme="minorEastAsia" w:eastAsiaTheme="minorEastAsia" w:cstheme="minorEastAsia"/>
          <w:color w:val="auto"/>
          <w:kern w:val="0"/>
          <w:sz w:val="28"/>
          <w:szCs w:val="28"/>
          <w:highlight w:val="none"/>
          <w:lang w:val="en-US" w:eastAsia="zh-CN"/>
        </w:rPr>
        <w:t>中标后以实际现有数量为准</w:t>
      </w:r>
      <w:r>
        <w:rPr>
          <w:rFonts w:hint="eastAsia" w:asciiTheme="minorEastAsia" w:hAnsiTheme="minorEastAsia" w:eastAsiaTheme="minorEastAsia" w:cstheme="minorEastAsia"/>
          <w:color w:val="auto"/>
          <w:sz w:val="28"/>
          <w:szCs w:val="28"/>
          <w:highlight w:val="none"/>
        </w:rPr>
        <w:t>。</w:t>
      </w:r>
    </w:p>
    <w:p w14:paraId="49DD93D1">
      <w:pPr>
        <w:pStyle w:val="35"/>
        <w:keepNext w:val="0"/>
        <w:keepLines w:val="0"/>
        <w:pageBreakBefore w:val="0"/>
        <w:kinsoku/>
        <w:wordWrap/>
        <w:overflowPunct/>
        <w:topLinePunct w:val="0"/>
        <w:autoSpaceDE/>
        <w:autoSpaceDN/>
        <w:bidi w:val="0"/>
        <w:adjustRightInd/>
        <w:spacing w:line="420" w:lineRule="exact"/>
        <w:ind w:left="0" w:leftChars="0" w:firstLine="0" w:firstLineChars="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 xml:space="preserve">   </w:t>
      </w:r>
      <w:r>
        <w:rPr>
          <w:rFonts w:hint="eastAsia" w:asciiTheme="minorEastAsia" w:hAnsiTheme="minorEastAsia" w:eastAsiaTheme="minorEastAsia" w:cstheme="minorEastAsia"/>
          <w:b/>
          <w:bCs/>
          <w:color w:val="auto"/>
          <w:sz w:val="28"/>
          <w:szCs w:val="28"/>
          <w:highlight w:val="none"/>
          <w:lang w:val="en-US" w:eastAsia="zh-CN"/>
        </w:rPr>
        <w:t xml:space="preserve"> 2、</w:t>
      </w:r>
      <w:r>
        <w:rPr>
          <w:rFonts w:hint="eastAsia" w:asciiTheme="minorEastAsia" w:hAnsiTheme="minorEastAsia" w:eastAsiaTheme="minorEastAsia" w:cstheme="minorEastAsia"/>
          <w:b/>
          <w:bCs/>
          <w:color w:val="auto"/>
          <w:kern w:val="0"/>
          <w:sz w:val="28"/>
          <w:szCs w:val="28"/>
          <w:highlight w:val="none"/>
          <w:lang w:val="en-US" w:eastAsia="zh-CN"/>
        </w:rPr>
        <w:t>招标人正在建设轨道交通产教融合实训基地，该基地规划总建筑面积为13000平方米，地上主楼四层、辅楼两层、地下一层。该楼内包括但不限于火灾自动报警系统、消防专用电话系统、火灾应急广播系统、消火栓系统、喷淋系统、排烟系统、防烟系统、防火卷帘及防火门、变配电房气体灭火系统、漏电火灾监控报警系统、消防电源监控系统等。该楼预计于2025年竣工投入使用，中标人应配合招标人做好消防系统移交时的验收工作，并在维保合同期内对该楼消防设备进行巡检与维保。</w:t>
      </w:r>
    </w:p>
    <w:p w14:paraId="4FC1D1E2">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（三）地点：</w:t>
      </w:r>
    </w:p>
    <w:p w14:paraId="1182EE5A">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江苏航运职业技术学院校内</w:t>
      </w:r>
    </w:p>
    <w:p w14:paraId="43A5180B">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（四）维保起讫时间：</w:t>
      </w:r>
    </w:p>
    <w:p w14:paraId="763326F6">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暂定</w:t>
      </w:r>
      <w:r>
        <w:rPr>
          <w:rFonts w:hint="eastAsia" w:asciiTheme="minorEastAsia" w:hAnsiTheme="minorEastAsia" w:eastAsiaTheme="minorEastAsia" w:cstheme="minorEastAsia"/>
          <w:color w:val="auto"/>
          <w:sz w:val="28"/>
          <w:szCs w:val="28"/>
          <w:highlight w:val="none"/>
        </w:rPr>
        <w:t>202</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10</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rPr>
        <w:t>日至202</w:t>
      </w:r>
      <w:r>
        <w:rPr>
          <w:rFonts w:hint="eastAsia" w:asciiTheme="minorEastAsia" w:hAnsiTheme="minorEastAsia" w:eastAsiaTheme="minorEastAsia" w:cstheme="minorEastAsia"/>
          <w:color w:val="auto"/>
          <w:sz w:val="28"/>
          <w:szCs w:val="28"/>
          <w:highlight w:val="none"/>
          <w:lang w:val="en-US" w:eastAsia="zh-CN"/>
        </w:rPr>
        <w:t>7</w:t>
      </w:r>
      <w:r>
        <w:rPr>
          <w:rFonts w:hint="eastAsia" w:asciiTheme="minorEastAsia" w:hAnsiTheme="minorEastAsia" w:eastAsiaTheme="minorEastAsia" w:cstheme="minorEastAsia"/>
          <w:color w:val="auto"/>
          <w:sz w:val="28"/>
          <w:szCs w:val="28"/>
          <w:highlight w:val="none"/>
        </w:rPr>
        <w:t>年</w:t>
      </w:r>
      <w:r>
        <w:rPr>
          <w:rFonts w:hint="eastAsia" w:asciiTheme="minorEastAsia" w:hAnsiTheme="minorEastAsia" w:eastAsiaTheme="minorEastAsia" w:cstheme="minorEastAsia"/>
          <w:color w:val="auto"/>
          <w:sz w:val="28"/>
          <w:szCs w:val="28"/>
          <w:highlight w:val="none"/>
          <w:lang w:val="en-US" w:eastAsia="zh-CN"/>
        </w:rPr>
        <w:t>9</w:t>
      </w:r>
      <w:r>
        <w:rPr>
          <w:rFonts w:hint="eastAsia" w:asciiTheme="minorEastAsia" w:hAnsiTheme="minorEastAsia" w:eastAsiaTheme="minorEastAsia" w:cstheme="minorEastAsia"/>
          <w:color w:val="auto"/>
          <w:sz w:val="28"/>
          <w:szCs w:val="28"/>
          <w:highlight w:val="none"/>
        </w:rPr>
        <w:t>月</w:t>
      </w:r>
      <w:r>
        <w:rPr>
          <w:rFonts w:hint="eastAsia" w:asciiTheme="minorEastAsia" w:hAnsiTheme="minorEastAsia" w:eastAsiaTheme="minorEastAsia" w:cstheme="minorEastAsia"/>
          <w:color w:val="auto"/>
          <w:sz w:val="28"/>
          <w:szCs w:val="28"/>
          <w:highlight w:val="none"/>
          <w:lang w:val="en-US" w:eastAsia="zh-CN"/>
        </w:rPr>
        <w:t>30</w:t>
      </w:r>
      <w:r>
        <w:rPr>
          <w:rFonts w:hint="eastAsia" w:asciiTheme="minorEastAsia" w:hAnsiTheme="minorEastAsia" w:eastAsiaTheme="minorEastAsia" w:cstheme="minorEastAsia"/>
          <w:color w:val="auto"/>
          <w:sz w:val="28"/>
          <w:szCs w:val="28"/>
          <w:highlight w:val="none"/>
        </w:rPr>
        <w:t>日。</w:t>
      </w:r>
      <w:r>
        <w:rPr>
          <w:rFonts w:hint="eastAsia" w:ascii="宋体" w:hAnsi="宋体" w:eastAsia="宋体" w:cs="宋体"/>
          <w:color w:val="auto"/>
          <w:sz w:val="28"/>
          <w:szCs w:val="28"/>
          <w:highlight w:val="none"/>
        </w:rPr>
        <w:t>一年消防维保服务结束后，在</w:t>
      </w:r>
      <w:r>
        <w:rPr>
          <w:rFonts w:hint="eastAsia" w:ascii="宋体" w:hAnsi="宋体" w:cs="宋体"/>
          <w:color w:val="auto"/>
          <w:sz w:val="28"/>
          <w:szCs w:val="28"/>
          <w:highlight w:val="none"/>
          <w:lang w:val="en-US" w:eastAsia="zh-CN"/>
        </w:rPr>
        <w:t>投标人</w:t>
      </w:r>
      <w:r>
        <w:rPr>
          <w:rFonts w:hint="eastAsia" w:ascii="宋体" w:hAnsi="宋体" w:eastAsia="宋体" w:cs="宋体"/>
          <w:color w:val="auto"/>
          <w:sz w:val="28"/>
          <w:szCs w:val="28"/>
          <w:highlight w:val="none"/>
        </w:rPr>
        <w:t>承诺不增加服务费且当年</w:t>
      </w:r>
      <w:r>
        <w:rPr>
          <w:rFonts w:hint="eastAsia" w:ascii="宋体" w:hAnsi="宋体" w:cs="宋体"/>
          <w:color w:val="auto"/>
          <w:sz w:val="28"/>
          <w:szCs w:val="28"/>
          <w:highlight w:val="none"/>
          <w:lang w:val="en-US" w:eastAsia="zh-CN"/>
        </w:rPr>
        <w:t>每月的</w:t>
      </w:r>
      <w:r>
        <w:rPr>
          <w:rFonts w:hint="eastAsia" w:ascii="宋体" w:hAnsi="宋体" w:eastAsia="宋体" w:cs="宋体"/>
          <w:color w:val="auto"/>
          <w:sz w:val="28"/>
          <w:szCs w:val="28"/>
          <w:highlight w:val="none"/>
        </w:rPr>
        <w:t>消防维保服务评价</w:t>
      </w:r>
      <w:r>
        <w:rPr>
          <w:rFonts w:hint="eastAsia" w:ascii="宋体" w:hAnsi="宋体" w:cs="宋体"/>
          <w:color w:val="auto"/>
          <w:sz w:val="28"/>
          <w:szCs w:val="28"/>
          <w:highlight w:val="none"/>
          <w:lang w:val="en-US" w:eastAsia="zh-CN"/>
        </w:rPr>
        <w:t>得分均在90分以上的，</w:t>
      </w:r>
      <w:r>
        <w:rPr>
          <w:rFonts w:hint="eastAsia" w:ascii="宋体" w:hAnsi="宋体" w:eastAsia="宋体" w:cs="宋体"/>
          <w:color w:val="auto"/>
          <w:sz w:val="28"/>
          <w:szCs w:val="28"/>
          <w:highlight w:val="none"/>
        </w:rPr>
        <w:t>同时满足相关法律法规的前提下，可续签次年服务合同，续签不超过两次。</w:t>
      </w:r>
      <w:r>
        <w:rPr>
          <w:rFonts w:hint="eastAsia" w:ascii="宋体" w:hAnsi="宋体" w:cs="宋体"/>
          <w:color w:val="auto"/>
          <w:sz w:val="28"/>
          <w:szCs w:val="28"/>
          <w:highlight w:val="none"/>
          <w:lang w:val="en-US" w:eastAsia="zh-CN"/>
        </w:rPr>
        <w:t>服务考评表见附件9。</w:t>
      </w:r>
    </w:p>
    <w:p w14:paraId="0F20893D">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（五）</w:t>
      </w:r>
      <w:r>
        <w:rPr>
          <w:rFonts w:hint="eastAsia" w:asciiTheme="minorEastAsia" w:hAnsiTheme="minorEastAsia" w:eastAsiaTheme="minorEastAsia" w:cstheme="minorEastAsia"/>
          <w:color w:val="auto"/>
          <w:sz w:val="28"/>
          <w:szCs w:val="28"/>
          <w:highlight w:val="none"/>
          <w:lang w:val="en-US" w:eastAsia="zh-CN"/>
        </w:rPr>
        <w:t>技术</w:t>
      </w:r>
      <w:r>
        <w:rPr>
          <w:rFonts w:hint="eastAsia" w:asciiTheme="minorEastAsia" w:hAnsiTheme="minorEastAsia" w:eastAsiaTheme="minorEastAsia" w:cstheme="minorEastAsia"/>
          <w:color w:val="auto"/>
          <w:sz w:val="28"/>
          <w:szCs w:val="28"/>
          <w:highlight w:val="none"/>
        </w:rPr>
        <w:t>要求：</w:t>
      </w:r>
    </w:p>
    <w:p w14:paraId="3F0905C9">
      <w:pPr>
        <w:keepNext w:val="0"/>
        <w:keepLines w:val="0"/>
        <w:pageBreakBefore w:val="0"/>
        <w:kinsoku/>
        <w:wordWrap/>
        <w:overflowPunct/>
        <w:topLinePunct w:val="0"/>
        <w:autoSpaceDE/>
        <w:autoSpaceDN/>
        <w:bidi w:val="0"/>
        <w:adjustRightInd/>
        <w:spacing w:line="420" w:lineRule="exact"/>
        <w:ind w:left="386" w:leftChars="184" w:firstLine="0" w:firstLineChars="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w:t>
      </w:r>
      <w:r>
        <w:rPr>
          <w:rFonts w:hint="eastAsia" w:asciiTheme="minorEastAsia" w:hAnsiTheme="minorEastAsia" w:eastAsiaTheme="minorEastAsia" w:cstheme="minorEastAsia"/>
          <w:color w:val="auto"/>
          <w:sz w:val="28"/>
          <w:szCs w:val="28"/>
          <w:highlight w:val="none"/>
          <w:lang w:val="en-US" w:eastAsia="zh-CN"/>
        </w:rPr>
        <w:t>巡查、</w:t>
      </w:r>
      <w:r>
        <w:rPr>
          <w:rFonts w:hint="eastAsia" w:asciiTheme="minorEastAsia" w:hAnsiTheme="minorEastAsia" w:eastAsiaTheme="minorEastAsia" w:cstheme="minorEastAsia"/>
          <w:color w:val="auto"/>
          <w:sz w:val="28"/>
          <w:szCs w:val="28"/>
          <w:highlight w:val="none"/>
        </w:rPr>
        <w:t>检测</w:t>
      </w:r>
    </w:p>
    <w:p w14:paraId="2CDF1E7D">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按照</w:t>
      </w:r>
      <w:r>
        <w:rPr>
          <w:rFonts w:hint="eastAsia" w:asciiTheme="minorEastAsia" w:hAnsiTheme="minorEastAsia" w:eastAsiaTheme="minorEastAsia" w:cstheme="minorEastAsia"/>
          <w:b/>
          <w:bCs/>
          <w:color w:val="auto"/>
          <w:sz w:val="28"/>
          <w:szCs w:val="28"/>
          <w:highlight w:val="none"/>
        </w:rPr>
        <w:t>《建筑消防设施的维修管理》（GB25201-2010）</w:t>
      </w:r>
      <w:r>
        <w:rPr>
          <w:rFonts w:hint="eastAsia" w:asciiTheme="minorEastAsia" w:hAnsiTheme="minorEastAsia" w:eastAsiaTheme="minorEastAsia" w:cstheme="minorEastAsia"/>
          <w:color w:val="auto"/>
          <w:sz w:val="28"/>
          <w:szCs w:val="28"/>
          <w:highlight w:val="none"/>
          <w:lang w:val="en-US" w:eastAsia="zh-CN"/>
        </w:rPr>
        <w:t>及</w:t>
      </w:r>
      <w:r>
        <w:rPr>
          <w:rFonts w:hint="eastAsia" w:asciiTheme="minorEastAsia" w:hAnsiTheme="minorEastAsia" w:eastAsiaTheme="minorEastAsia" w:cstheme="minorEastAsia"/>
          <w:b/>
          <w:bCs/>
          <w:color w:val="auto"/>
          <w:sz w:val="28"/>
          <w:szCs w:val="28"/>
          <w:highlight w:val="none"/>
          <w:lang w:val="en-US" w:eastAsia="zh-CN"/>
        </w:rPr>
        <w:t>《建筑消防设施维护保养规程》（DB32/T 4696-2024）</w:t>
      </w:r>
      <w:r>
        <w:rPr>
          <w:rFonts w:hint="eastAsia" w:asciiTheme="minorEastAsia" w:hAnsiTheme="minorEastAsia" w:eastAsiaTheme="minorEastAsia" w:cstheme="minorEastAsia"/>
          <w:color w:val="auto"/>
          <w:sz w:val="28"/>
          <w:szCs w:val="28"/>
          <w:highlight w:val="none"/>
        </w:rPr>
        <w:t>要求，每月至少对维保范围内的所有消防系统进行一次全面维护检测和常规保养，对故障进行原因排查</w:t>
      </w:r>
      <w:r>
        <w:rPr>
          <w:rFonts w:hint="eastAsia" w:asciiTheme="minorEastAsia" w:hAnsiTheme="minorEastAsia" w:eastAsiaTheme="minorEastAsia" w:cstheme="minorEastAsia"/>
          <w:color w:val="auto"/>
          <w:sz w:val="28"/>
          <w:szCs w:val="28"/>
          <w:highlight w:val="none"/>
          <w:lang w:val="en-US" w:eastAsia="zh-CN"/>
        </w:rPr>
        <w:t>以及联系设备厂家</w:t>
      </w:r>
      <w:r>
        <w:rPr>
          <w:rFonts w:hint="eastAsia" w:asciiTheme="minorEastAsia" w:hAnsiTheme="minorEastAsia" w:eastAsiaTheme="minorEastAsia" w:cstheme="minorEastAsia"/>
          <w:color w:val="auto"/>
          <w:sz w:val="28"/>
          <w:szCs w:val="28"/>
          <w:highlight w:val="none"/>
        </w:rPr>
        <w:t>解决处理。向</w:t>
      </w:r>
      <w:r>
        <w:rPr>
          <w:rFonts w:hint="eastAsia" w:asciiTheme="minorEastAsia" w:hAnsiTheme="minorEastAsia" w:eastAsiaTheme="minorEastAsia" w:cstheme="minorEastAsia"/>
          <w:color w:val="auto"/>
          <w:sz w:val="28"/>
          <w:szCs w:val="28"/>
          <w:highlight w:val="none"/>
          <w:lang w:val="en-US" w:eastAsia="zh-CN"/>
        </w:rPr>
        <w:t>消防控制室</w:t>
      </w:r>
      <w:r>
        <w:rPr>
          <w:rFonts w:hint="eastAsia" w:asciiTheme="minorEastAsia" w:hAnsiTheme="minorEastAsia" w:eastAsiaTheme="minorEastAsia" w:cstheme="minorEastAsia"/>
          <w:color w:val="auto"/>
          <w:sz w:val="28"/>
          <w:szCs w:val="28"/>
          <w:highlight w:val="none"/>
        </w:rPr>
        <w:t>值班人员提供操作培训与技术咨询服务。为了使维保单位全面掌握维保工作量，现对维保检测和常规保养主要工作要求如下：</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5437"/>
        <w:gridCol w:w="1267"/>
      </w:tblGrid>
      <w:tr w14:paraId="7779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18" w:type="dxa"/>
            <w:vAlign w:val="center"/>
          </w:tcPr>
          <w:p w14:paraId="411D0E3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维保项目</w:t>
            </w:r>
          </w:p>
        </w:tc>
        <w:tc>
          <w:tcPr>
            <w:tcW w:w="5437" w:type="dxa"/>
            <w:vAlign w:val="center"/>
          </w:tcPr>
          <w:p w14:paraId="5D62438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维保内容</w:t>
            </w:r>
          </w:p>
        </w:tc>
        <w:tc>
          <w:tcPr>
            <w:tcW w:w="1267" w:type="dxa"/>
            <w:vAlign w:val="center"/>
          </w:tcPr>
          <w:p w14:paraId="796B257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周期</w:t>
            </w:r>
          </w:p>
        </w:tc>
      </w:tr>
      <w:tr w14:paraId="0FF1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777DC288">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消防控制室、 消防水泵房巡查</w:t>
            </w:r>
          </w:p>
        </w:tc>
        <w:tc>
          <w:tcPr>
            <w:tcW w:w="5437" w:type="dxa"/>
            <w:vAlign w:val="center"/>
          </w:tcPr>
          <w:p w14:paraId="211A422E">
            <w:pPr>
              <w:keepNext w:val="0"/>
              <w:keepLines w:val="0"/>
              <w:pageBreakBefore w:val="0"/>
              <w:kinsoku/>
              <w:wordWrap/>
              <w:overflowPunct/>
              <w:topLinePunct w:val="0"/>
              <w:autoSpaceDE/>
              <w:autoSpaceDN/>
              <w:bidi w:val="0"/>
              <w:adjustRightInd/>
              <w:snapToGrid w:val="0"/>
              <w:spacing w:line="420" w:lineRule="exact"/>
              <w:ind w:firstLine="0" w:firstLineChars="0"/>
              <w:textAlignment w:val="auto"/>
              <w:rPr>
                <w:rFonts w:hint="eastAsia" w:asciiTheme="minorEastAsia" w:hAnsiTheme="minorEastAsia" w:eastAsiaTheme="minorEastAsia" w:cstheme="minorEastAsia"/>
                <w:b w:val="0"/>
                <w:bCs w:val="0"/>
                <w:color w:val="auto"/>
                <w:spacing w:val="4"/>
                <w:sz w:val="22"/>
                <w:szCs w:val="22"/>
                <w:highlight w:val="none"/>
              </w:rPr>
            </w:pPr>
            <w:r>
              <w:rPr>
                <w:rFonts w:hint="eastAsia" w:asciiTheme="minorEastAsia" w:hAnsiTheme="minorEastAsia" w:eastAsiaTheme="minorEastAsia" w:cstheme="minorEastAsia"/>
                <w:b w:val="0"/>
                <w:bCs w:val="0"/>
                <w:color w:val="auto"/>
                <w:spacing w:val="4"/>
                <w:sz w:val="22"/>
                <w:szCs w:val="22"/>
                <w:highlight w:val="none"/>
                <w:lang w:val="en-US" w:eastAsia="zh-CN"/>
              </w:rPr>
              <w:t>1.</w:t>
            </w:r>
            <w:r>
              <w:rPr>
                <w:rFonts w:hint="eastAsia" w:asciiTheme="minorEastAsia" w:hAnsiTheme="minorEastAsia" w:eastAsiaTheme="minorEastAsia" w:cstheme="minorEastAsia"/>
                <w:b w:val="0"/>
                <w:bCs w:val="0"/>
                <w:color w:val="auto"/>
                <w:spacing w:val="4"/>
                <w:sz w:val="22"/>
                <w:szCs w:val="22"/>
                <w:highlight w:val="none"/>
              </w:rPr>
              <w:t>对消防控制室及消防水泵房设施进行巡查一次，并做好每日维护巡查记录及人员报到登记，发现问题及故障应及时维修排除。</w:t>
            </w:r>
          </w:p>
        </w:tc>
        <w:tc>
          <w:tcPr>
            <w:tcW w:w="1267" w:type="dxa"/>
            <w:vAlign w:val="center"/>
          </w:tcPr>
          <w:p w14:paraId="74992DC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每日一次</w:t>
            </w:r>
          </w:p>
        </w:tc>
      </w:tr>
      <w:tr w14:paraId="5470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0B3BE960">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消防控制主机</w:t>
            </w:r>
          </w:p>
        </w:tc>
        <w:tc>
          <w:tcPr>
            <w:tcW w:w="5437" w:type="dxa"/>
          </w:tcPr>
          <w:p w14:paraId="1155DC6C">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火灾探测器、手动报警按钮报警功能正常。</w:t>
            </w:r>
          </w:p>
          <w:p w14:paraId="6F0B15B9">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检测警报装置警报功能、联动广播。</w:t>
            </w:r>
          </w:p>
          <w:p w14:paraId="58D8235C">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检测报警控制器、CRT图形显示器、火灾显示盘、层显等报警、显示、打印等功能。</w:t>
            </w:r>
          </w:p>
          <w:p w14:paraId="3312BE97">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检测消防联动控制器及控制模块的手动、自动联动控制功能、显示功能、主、备电源切换功能、备用电源充、放电功能。</w:t>
            </w:r>
          </w:p>
          <w:p w14:paraId="2AD10AD7">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rPr>
              <w:t>检测消防电梯的紧急迫降功能。</w:t>
            </w:r>
          </w:p>
          <w:p w14:paraId="0724128F">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6.</w:t>
            </w:r>
            <w:r>
              <w:rPr>
                <w:rFonts w:hint="eastAsia" w:asciiTheme="minorEastAsia" w:hAnsiTheme="minorEastAsia" w:eastAsiaTheme="minorEastAsia" w:cstheme="minorEastAsia"/>
                <w:b w:val="0"/>
                <w:bCs w:val="0"/>
                <w:color w:val="auto"/>
                <w:kern w:val="0"/>
                <w:sz w:val="22"/>
                <w:szCs w:val="22"/>
                <w:highlight w:val="none"/>
              </w:rPr>
              <w:t>气体灭火装置检测。</w:t>
            </w:r>
          </w:p>
        </w:tc>
        <w:tc>
          <w:tcPr>
            <w:tcW w:w="1267" w:type="dxa"/>
            <w:vAlign w:val="center"/>
          </w:tcPr>
          <w:p w14:paraId="037529F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每日一次</w:t>
            </w:r>
          </w:p>
        </w:tc>
      </w:tr>
      <w:tr w14:paraId="76EF5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4A9607DE">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消防供配电设施</w:t>
            </w:r>
          </w:p>
        </w:tc>
        <w:tc>
          <w:tcPr>
            <w:tcW w:w="5437" w:type="dxa"/>
          </w:tcPr>
          <w:p w14:paraId="6DA4A89B">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消防电源配电箱主、备电源切换功能。</w:t>
            </w:r>
          </w:p>
          <w:p w14:paraId="5BFD9CE0">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应急电源充、放电试验。</w:t>
            </w:r>
          </w:p>
          <w:p w14:paraId="7078C69A">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消防电源主、备电源供电能力测试。</w:t>
            </w:r>
          </w:p>
          <w:p w14:paraId="23DD514A">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非消防电源的联动切断试验（风机、消防泵等）</w:t>
            </w:r>
          </w:p>
        </w:tc>
        <w:tc>
          <w:tcPr>
            <w:tcW w:w="1267" w:type="dxa"/>
            <w:vAlign w:val="center"/>
          </w:tcPr>
          <w:p w14:paraId="0E47EA2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336D7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037D8487">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点型感烟探测器</w:t>
            </w:r>
          </w:p>
        </w:tc>
        <w:tc>
          <w:tcPr>
            <w:tcW w:w="5437" w:type="dxa"/>
          </w:tcPr>
          <w:p w14:paraId="333E91E7">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放烟状态，检测探测器报警确认灯以及火灾报警控制器的火警信号显示。</w:t>
            </w:r>
          </w:p>
          <w:p w14:paraId="0D7C5446">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消烟重定，检测探测器报警确认灯在重定前后的变化情况。</w:t>
            </w:r>
          </w:p>
        </w:tc>
        <w:tc>
          <w:tcPr>
            <w:tcW w:w="1267" w:type="dxa"/>
            <w:vAlign w:val="center"/>
          </w:tcPr>
          <w:p w14:paraId="45812AA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每月不少于全数的10%，每年全数</w:t>
            </w:r>
          </w:p>
        </w:tc>
      </w:tr>
      <w:tr w14:paraId="38A0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6BA545A2">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手动报警按钮</w:t>
            </w:r>
          </w:p>
        </w:tc>
        <w:tc>
          <w:tcPr>
            <w:tcW w:w="5437" w:type="dxa"/>
          </w:tcPr>
          <w:p w14:paraId="01055A9A">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1.外罩玻璃保持完好，触发按钮检测火灾报警控制器信号和按钮的报警确认灯是否准确。</w:t>
            </w:r>
          </w:p>
        </w:tc>
        <w:tc>
          <w:tcPr>
            <w:tcW w:w="1267" w:type="dxa"/>
            <w:vAlign w:val="center"/>
          </w:tcPr>
          <w:p w14:paraId="74A87CA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每月不少于全数的10%，每年全数</w:t>
            </w:r>
          </w:p>
        </w:tc>
      </w:tr>
      <w:tr w14:paraId="5298A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3F441918">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消防广播</w:t>
            </w:r>
          </w:p>
        </w:tc>
        <w:tc>
          <w:tcPr>
            <w:tcW w:w="5437" w:type="dxa"/>
          </w:tcPr>
          <w:p w14:paraId="3EE2C238">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检测消控室用话筒对所选区域播音功能正常</w:t>
            </w:r>
          </w:p>
        </w:tc>
        <w:tc>
          <w:tcPr>
            <w:tcW w:w="1267" w:type="dxa"/>
            <w:vAlign w:val="center"/>
          </w:tcPr>
          <w:p w14:paraId="066E9C6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每月一次</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每年扬声器全数</w:t>
            </w:r>
          </w:p>
        </w:tc>
      </w:tr>
      <w:tr w14:paraId="1F77D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2EA8E461">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报警阀组</w:t>
            </w:r>
          </w:p>
        </w:tc>
        <w:tc>
          <w:tcPr>
            <w:tcW w:w="5437" w:type="dxa"/>
          </w:tcPr>
          <w:p w14:paraId="1D2C17AE">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报警阀外观、标志牌、压力表完整。</w:t>
            </w:r>
          </w:p>
          <w:p w14:paraId="1255A32E">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报警阀的压力表进行检查，要求报警前后压力表指示保持正常。</w:t>
            </w:r>
          </w:p>
          <w:p w14:paraId="1668C6F4">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报警阀应进行开阀试验，观察阀门开启性能和密封性，以及报警阀各部件的工作状态保持正常。</w:t>
            </w:r>
          </w:p>
        </w:tc>
        <w:tc>
          <w:tcPr>
            <w:tcW w:w="1267" w:type="dxa"/>
            <w:vAlign w:val="center"/>
          </w:tcPr>
          <w:p w14:paraId="5246886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56A69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719E33B6">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自动喷淋头及管道</w:t>
            </w:r>
          </w:p>
        </w:tc>
        <w:tc>
          <w:tcPr>
            <w:tcW w:w="5437" w:type="dxa"/>
          </w:tcPr>
          <w:p w14:paraId="1E2FD799">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检查喷头外观有无损坏、锈蚀、漏水现象。</w:t>
            </w:r>
          </w:p>
          <w:p w14:paraId="3FFB6484">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检查管道有无机械损伤和锈蚀、油漆脱落，管道固定是否牢固、管内有无堵塞。</w:t>
            </w:r>
          </w:p>
          <w:p w14:paraId="30588612">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利用末端试水装置放水，进行水流指示器工作测试，同时排除管网内的铁锈及杂质。</w:t>
            </w:r>
          </w:p>
        </w:tc>
        <w:tc>
          <w:tcPr>
            <w:tcW w:w="1267" w:type="dxa"/>
            <w:vAlign w:val="center"/>
          </w:tcPr>
          <w:p w14:paraId="5AA7721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喷头每月不少于全数的10%，每年全数，其余</w:t>
            </w: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1940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79EDB6CD">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电控柜</w:t>
            </w:r>
          </w:p>
        </w:tc>
        <w:tc>
          <w:tcPr>
            <w:tcW w:w="5437" w:type="dxa"/>
          </w:tcPr>
          <w:p w14:paraId="441E26AD">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检查控制柜有无变形、损伤、腐蚀。</w:t>
            </w:r>
          </w:p>
          <w:p w14:paraId="744C4168">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检查线路图及操作说明是否齐全。</w:t>
            </w:r>
          </w:p>
          <w:p w14:paraId="5C281D68">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检查电压、电流表指标是否在规定范围内。</w:t>
            </w:r>
          </w:p>
          <w:p w14:paraId="3CAEACB2">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开关是否有变形、损伤、标志脱落，处于正常状态，控制盘的指示灯是否正常。</w:t>
            </w:r>
          </w:p>
          <w:p w14:paraId="04ACD208">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rPr>
              <w:t>检查电控柜内继电器是否脱落、松动，接点是否烧损，转换开关应处于自动状态。各导线链接是否松脱，绝缘是否损伤。</w:t>
            </w:r>
          </w:p>
          <w:p w14:paraId="110099EF">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6.</w:t>
            </w:r>
            <w:r>
              <w:rPr>
                <w:rFonts w:hint="eastAsia" w:asciiTheme="minorEastAsia" w:hAnsiTheme="minorEastAsia" w:eastAsiaTheme="minorEastAsia" w:cstheme="minorEastAsia"/>
                <w:b w:val="0"/>
                <w:bCs w:val="0"/>
                <w:color w:val="auto"/>
                <w:kern w:val="0"/>
                <w:sz w:val="22"/>
                <w:szCs w:val="22"/>
                <w:highlight w:val="none"/>
              </w:rPr>
              <w:t>查看自动切换启动备用泵情况，同时查看仪表及指示灯是否显示正常。</w:t>
            </w:r>
          </w:p>
        </w:tc>
        <w:tc>
          <w:tcPr>
            <w:tcW w:w="1267" w:type="dxa"/>
            <w:vAlign w:val="center"/>
          </w:tcPr>
          <w:p w14:paraId="709B659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2528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3A9465AD">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消防管路系统</w:t>
            </w:r>
          </w:p>
        </w:tc>
        <w:tc>
          <w:tcPr>
            <w:tcW w:w="5437" w:type="dxa"/>
          </w:tcPr>
          <w:p w14:paraId="73A828FE">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检测稳压泵的启动频率，确保启动频率正常。</w:t>
            </w:r>
          </w:p>
          <w:p w14:paraId="3F8F87E5">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检查管道有无机械损伤、油漆脱落、锈蚀等</w:t>
            </w:r>
          </w:p>
          <w:p w14:paraId="60491910">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对不少于20％的管道末端进行防水，确保管道内的水质良好。</w:t>
            </w:r>
          </w:p>
          <w:p w14:paraId="1AAC2719">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对水流指示器的报警功能进行检查。</w:t>
            </w:r>
          </w:p>
        </w:tc>
        <w:tc>
          <w:tcPr>
            <w:tcW w:w="1267" w:type="dxa"/>
            <w:vAlign w:val="center"/>
          </w:tcPr>
          <w:p w14:paraId="64016C7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0CB6E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7A579D3B">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稳压泵及气压水罐</w:t>
            </w:r>
          </w:p>
        </w:tc>
        <w:tc>
          <w:tcPr>
            <w:tcW w:w="5437" w:type="dxa"/>
          </w:tcPr>
          <w:p w14:paraId="32538EB1">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检查是否能够自动加压。</w:t>
            </w:r>
          </w:p>
          <w:p w14:paraId="1AD17879">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打开试验排水阀，检查减水时能否自动供水，加压装置及供水装置压力表是否显示正常。</w:t>
            </w:r>
          </w:p>
        </w:tc>
        <w:tc>
          <w:tcPr>
            <w:tcW w:w="1267" w:type="dxa"/>
            <w:vAlign w:val="center"/>
          </w:tcPr>
          <w:p w14:paraId="3F1B40B9">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757A2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3BA0DF48">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消防水泵</w:t>
            </w:r>
          </w:p>
        </w:tc>
        <w:tc>
          <w:tcPr>
            <w:tcW w:w="5437" w:type="dxa"/>
          </w:tcPr>
          <w:p w14:paraId="0F53A4C7">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阀杆加注润滑油。</w:t>
            </w:r>
          </w:p>
          <w:p w14:paraId="0737D123">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泵房控制柜处启动水泵，消防主机控制室启动水泵，运行及反馈信号。</w:t>
            </w:r>
          </w:p>
          <w:p w14:paraId="62DA496E">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检查消防泵动力运行是否可靠，水泵能否正常运转，流量和压力能否保证，电力有无保证不间断供电设施，其性能是否良好。</w:t>
            </w:r>
          </w:p>
          <w:p w14:paraId="0EEA63E6">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检查主、备泵能否自动切换。</w:t>
            </w:r>
          </w:p>
          <w:p w14:paraId="7822690C">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rPr>
              <w:t>检查压力表是否变形、水泵启动后动作是否正常。</w:t>
            </w:r>
          </w:p>
          <w:p w14:paraId="69F2F5ED">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6.</w:t>
            </w:r>
            <w:r>
              <w:rPr>
                <w:rFonts w:hint="eastAsia" w:asciiTheme="minorEastAsia" w:hAnsiTheme="minorEastAsia" w:eastAsiaTheme="minorEastAsia" w:cstheme="minorEastAsia"/>
                <w:b w:val="0"/>
                <w:bCs w:val="0"/>
                <w:color w:val="auto"/>
                <w:kern w:val="0"/>
                <w:sz w:val="22"/>
                <w:szCs w:val="22"/>
                <w:highlight w:val="none"/>
              </w:rPr>
              <w:t>启动水泵后，打开试验阀，观察压力保持情况。</w:t>
            </w:r>
          </w:p>
          <w:p w14:paraId="096E6224">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7.</w:t>
            </w:r>
            <w:r>
              <w:rPr>
                <w:rFonts w:hint="eastAsia" w:asciiTheme="minorEastAsia" w:hAnsiTheme="minorEastAsia" w:eastAsiaTheme="minorEastAsia" w:cstheme="minorEastAsia"/>
                <w:b w:val="0"/>
                <w:bCs w:val="0"/>
                <w:color w:val="auto"/>
                <w:kern w:val="0"/>
                <w:sz w:val="22"/>
                <w:szCs w:val="22"/>
                <w:highlight w:val="none"/>
              </w:rPr>
              <w:t>对消防泵检修保养一次，添加润滑油。</w:t>
            </w:r>
          </w:p>
        </w:tc>
        <w:tc>
          <w:tcPr>
            <w:tcW w:w="1267" w:type="dxa"/>
            <w:vAlign w:val="center"/>
          </w:tcPr>
          <w:p w14:paraId="7306D06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每月全数</w:t>
            </w:r>
          </w:p>
        </w:tc>
      </w:tr>
      <w:tr w14:paraId="15D48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20904641">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水泵接合器</w:t>
            </w:r>
          </w:p>
        </w:tc>
        <w:tc>
          <w:tcPr>
            <w:tcW w:w="5437" w:type="dxa"/>
          </w:tcPr>
          <w:p w14:paraId="454613F2">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检查橡胶垫圈等密封件有无损坏、老化或丢失等情况。</w:t>
            </w:r>
          </w:p>
          <w:p w14:paraId="54FB26C5">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检查外表油漆有无脱落、锈蚀，如有及时修补。</w:t>
            </w:r>
          </w:p>
        </w:tc>
        <w:tc>
          <w:tcPr>
            <w:tcW w:w="1267" w:type="dxa"/>
            <w:vAlign w:val="center"/>
          </w:tcPr>
          <w:p w14:paraId="14565256">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318B6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33D9D587">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室内消火栓</w:t>
            </w:r>
          </w:p>
        </w:tc>
        <w:tc>
          <w:tcPr>
            <w:tcW w:w="5437" w:type="dxa"/>
          </w:tcPr>
          <w:p w14:paraId="3C2A59DA">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消火栓供水阀不应有渗漏现象。</w:t>
            </w:r>
          </w:p>
          <w:p w14:paraId="6703EE4A">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消防水枪、水带及全部附件齐全良好。</w:t>
            </w:r>
          </w:p>
          <w:p w14:paraId="3939CCB1">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报警按钮指示灯及控制线路功能正常，无故障。</w:t>
            </w:r>
          </w:p>
          <w:p w14:paraId="0059EE98">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消火栓箱及箱内配装的消防部件的外观无破损、涂层无脱落、箱门玻璃完好无缺。</w:t>
            </w:r>
          </w:p>
          <w:p w14:paraId="62ED3E2D">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rPr>
              <w:t>每月对各楼宇室内消火栓的静水水压进行检测，并出具水压检测记录报告。</w:t>
            </w:r>
          </w:p>
        </w:tc>
        <w:tc>
          <w:tcPr>
            <w:tcW w:w="1267" w:type="dxa"/>
            <w:vAlign w:val="center"/>
          </w:tcPr>
          <w:p w14:paraId="18BCE18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3D8D4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2D0C5780">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灭火器</w:t>
            </w:r>
          </w:p>
        </w:tc>
        <w:tc>
          <w:tcPr>
            <w:tcW w:w="5437" w:type="dxa"/>
          </w:tcPr>
          <w:p w14:paraId="6CC06382">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检查灭火器安放位置是否正确。</w:t>
            </w:r>
          </w:p>
          <w:p w14:paraId="6322A7CC">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检查灭火器有无堵塞、失效、锈蚀、损坏、遗失，并填写巡检记录。</w:t>
            </w:r>
          </w:p>
        </w:tc>
        <w:tc>
          <w:tcPr>
            <w:tcW w:w="1267" w:type="dxa"/>
            <w:vAlign w:val="center"/>
          </w:tcPr>
          <w:p w14:paraId="5E7BEE9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5A3FA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229A9EF0">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防排烟风机</w:t>
            </w:r>
          </w:p>
        </w:tc>
        <w:tc>
          <w:tcPr>
            <w:tcW w:w="5437" w:type="dxa"/>
          </w:tcPr>
          <w:p w14:paraId="37BC6214">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bidi="ar-SA"/>
              </w:rPr>
              <w:t>1.</w:t>
            </w:r>
            <w:r>
              <w:rPr>
                <w:rFonts w:hint="eastAsia" w:asciiTheme="minorEastAsia" w:hAnsiTheme="minorEastAsia" w:eastAsiaTheme="minorEastAsia" w:cstheme="minorEastAsia"/>
                <w:b w:val="0"/>
                <w:bCs w:val="0"/>
                <w:color w:val="auto"/>
                <w:kern w:val="0"/>
                <w:sz w:val="22"/>
                <w:szCs w:val="22"/>
                <w:highlight w:val="none"/>
                <w:lang w:val="en-US" w:eastAsia="zh-CN"/>
              </w:rPr>
              <w:t>送风机及控制柜外观及工作状态</w:t>
            </w:r>
          </w:p>
          <w:p w14:paraId="494CE590">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bidi="ar-SA"/>
              </w:rPr>
              <w:t>2.</w:t>
            </w:r>
            <w:r>
              <w:rPr>
                <w:rFonts w:hint="eastAsia" w:asciiTheme="minorEastAsia" w:hAnsiTheme="minorEastAsia" w:eastAsiaTheme="minorEastAsia" w:cstheme="minorEastAsia"/>
                <w:b w:val="0"/>
                <w:bCs w:val="0"/>
                <w:color w:val="auto"/>
                <w:kern w:val="0"/>
                <w:sz w:val="22"/>
                <w:szCs w:val="22"/>
                <w:highlight w:val="none"/>
                <w:lang w:val="en-US" w:eastAsia="zh-CN"/>
              </w:rPr>
              <w:t>电动排烟阀、自然排烟设施外雇</w:t>
            </w:r>
          </w:p>
          <w:p w14:paraId="11C867C0">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0" w:firstLineChars="0"/>
              <w:jc w:val="left"/>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default" w:asciiTheme="minorEastAsia" w:hAnsiTheme="minorEastAsia" w:eastAsiaTheme="minorEastAsia" w:cstheme="minorEastAsia"/>
                <w:b w:val="0"/>
                <w:bCs w:val="0"/>
                <w:color w:val="auto"/>
                <w:kern w:val="0"/>
                <w:sz w:val="22"/>
                <w:szCs w:val="22"/>
                <w:highlight w:val="none"/>
                <w:lang w:val="en-US" w:eastAsia="zh-CN" w:bidi="ar-SA"/>
              </w:rPr>
              <w:t>3.</w:t>
            </w:r>
            <w:r>
              <w:rPr>
                <w:rFonts w:hint="eastAsia" w:asciiTheme="minorEastAsia" w:hAnsiTheme="minorEastAsia" w:eastAsiaTheme="minorEastAsia" w:cstheme="minorEastAsia"/>
                <w:b w:val="0"/>
                <w:bCs w:val="0"/>
                <w:color w:val="auto"/>
                <w:kern w:val="0"/>
                <w:sz w:val="22"/>
                <w:szCs w:val="22"/>
                <w:highlight w:val="none"/>
                <w:lang w:val="en-US" w:eastAsia="zh-CN"/>
              </w:rPr>
              <w:t>排烟机及控制柜外观及工作状态</w:t>
            </w:r>
          </w:p>
          <w:p w14:paraId="75F5B990">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0" w:firstLineChars="0"/>
              <w:jc w:val="left"/>
              <w:textAlignment w:val="auto"/>
              <w:rPr>
                <w:rFonts w:hint="default"/>
                <w:color w:val="auto"/>
                <w:highlight w:val="none"/>
                <w:lang w:val="en-US" w:eastAsia="zh-CN"/>
              </w:rPr>
            </w:pPr>
            <w:r>
              <w:rPr>
                <w:rFonts w:hint="default" w:ascii="Times New Roman" w:hAnsi="Times New Roman" w:eastAsia="宋体" w:cs="Times New Roman"/>
                <w:color w:val="auto"/>
                <w:kern w:val="2"/>
                <w:sz w:val="21"/>
                <w:szCs w:val="24"/>
                <w:highlight w:val="none"/>
                <w:lang w:val="en-US" w:eastAsia="zh-CN" w:bidi="ar-SA"/>
              </w:rPr>
              <w:t>4.</w:t>
            </w:r>
            <w:r>
              <w:rPr>
                <w:rFonts w:hint="eastAsia" w:asciiTheme="minorEastAsia" w:hAnsiTheme="minorEastAsia" w:eastAsiaTheme="minorEastAsia" w:cstheme="minorEastAsia"/>
                <w:b w:val="0"/>
                <w:bCs w:val="0"/>
                <w:color w:val="auto"/>
                <w:kern w:val="0"/>
                <w:sz w:val="22"/>
                <w:szCs w:val="22"/>
                <w:highlight w:val="none"/>
                <w:lang w:val="en-US" w:eastAsia="zh-CN"/>
              </w:rPr>
              <w:t>送风、排烟机房环境</w:t>
            </w:r>
          </w:p>
        </w:tc>
        <w:tc>
          <w:tcPr>
            <w:tcW w:w="1267" w:type="dxa"/>
            <w:vAlign w:val="center"/>
          </w:tcPr>
          <w:p w14:paraId="28AE52D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每月全数</w:t>
            </w:r>
          </w:p>
        </w:tc>
      </w:tr>
      <w:tr w14:paraId="15C4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3A74A381">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其它系统设施</w:t>
            </w:r>
          </w:p>
        </w:tc>
        <w:tc>
          <w:tcPr>
            <w:tcW w:w="5437" w:type="dxa"/>
          </w:tcPr>
          <w:p w14:paraId="6E98E4BD">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按行业规范要求以及上级消防主管部门要求的消防重点单位平台信息更新。</w:t>
            </w:r>
          </w:p>
        </w:tc>
        <w:tc>
          <w:tcPr>
            <w:tcW w:w="1267" w:type="dxa"/>
            <w:vAlign w:val="center"/>
          </w:tcPr>
          <w:p w14:paraId="3667B1E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bl>
    <w:p w14:paraId="624CBAA4">
      <w:pPr>
        <w:keepNext w:val="0"/>
        <w:keepLines w:val="0"/>
        <w:pageBreakBefore w:val="0"/>
        <w:widowControl/>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2．故障突击抢修</w:t>
      </w:r>
    </w:p>
    <w:p w14:paraId="050BF6C7">
      <w:pPr>
        <w:keepNext w:val="0"/>
        <w:keepLines w:val="0"/>
        <w:pageBreakBefore w:val="0"/>
        <w:widowControl/>
        <w:kinsoku/>
        <w:wordWrap/>
        <w:overflowPunct/>
        <w:topLinePunct w:val="0"/>
        <w:autoSpaceDE/>
        <w:autoSpaceDN/>
        <w:bidi w:val="0"/>
        <w:adjustRightInd/>
        <w:spacing w:line="42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kern w:val="0"/>
          <w:sz w:val="28"/>
          <w:szCs w:val="28"/>
          <w:highlight w:val="none"/>
        </w:rPr>
        <w:t>当</w:t>
      </w:r>
      <w:r>
        <w:rPr>
          <w:rFonts w:hint="eastAsia" w:asciiTheme="minorEastAsia" w:hAnsiTheme="minorEastAsia" w:eastAsiaTheme="minorEastAsia" w:cstheme="minorEastAsia"/>
          <w:b w:val="0"/>
          <w:bCs w:val="0"/>
          <w:color w:val="auto"/>
          <w:kern w:val="0"/>
          <w:sz w:val="28"/>
          <w:szCs w:val="28"/>
          <w:highlight w:val="none"/>
          <w:lang w:val="en-US" w:eastAsia="zh-CN"/>
        </w:rPr>
        <w:t>中标人</w:t>
      </w:r>
      <w:r>
        <w:rPr>
          <w:rFonts w:hint="eastAsia" w:asciiTheme="minorEastAsia" w:hAnsiTheme="minorEastAsia" w:eastAsiaTheme="minorEastAsia" w:cstheme="minorEastAsia"/>
          <w:b w:val="0"/>
          <w:bCs w:val="0"/>
          <w:color w:val="auto"/>
          <w:kern w:val="0"/>
          <w:sz w:val="28"/>
          <w:szCs w:val="28"/>
          <w:highlight w:val="none"/>
        </w:rPr>
        <w:t>接到故障抢修通知后，应在1小时内派人员到达现场对该故障进行排除。一般故障应该立即排除，严重故障维保方应增加技术力量在24小时内修复，外送修理设施设备7日内完成修复（消防主机经常性需要更换的消防配件，有备件的情况下，必须在6小时之内更换到位），修复期间采取应急安全封闭和安全管理措施，同时书面报保卫处备案。</w:t>
      </w:r>
    </w:p>
    <w:p w14:paraId="7939A9B3">
      <w:pPr>
        <w:keepNext w:val="0"/>
        <w:keepLines w:val="0"/>
        <w:pageBreakBefore w:val="0"/>
        <w:widowControl/>
        <w:kinsoku/>
        <w:wordWrap/>
        <w:overflowPunct/>
        <w:topLinePunct w:val="0"/>
        <w:autoSpaceDE/>
        <w:autoSpaceDN/>
        <w:bidi w:val="0"/>
        <w:adjustRightInd/>
        <w:spacing w:line="42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w:t>
      </w:r>
      <w:r>
        <w:rPr>
          <w:rFonts w:hint="eastAsia" w:asciiTheme="minorEastAsia" w:hAnsiTheme="minorEastAsia" w:eastAsiaTheme="minorEastAsia" w:cstheme="minorEastAsia"/>
          <w:color w:val="auto"/>
          <w:sz w:val="28"/>
          <w:szCs w:val="28"/>
          <w:highlight w:val="none"/>
          <w:lang w:val="en-US" w:eastAsia="zh-CN"/>
        </w:rPr>
        <w:t>巡查、检测</w:t>
      </w:r>
      <w:r>
        <w:rPr>
          <w:rFonts w:hint="eastAsia" w:asciiTheme="minorEastAsia" w:hAnsiTheme="minorEastAsia" w:eastAsiaTheme="minorEastAsia" w:cstheme="minorEastAsia"/>
          <w:color w:val="auto"/>
          <w:sz w:val="28"/>
          <w:szCs w:val="28"/>
          <w:highlight w:val="none"/>
        </w:rPr>
        <w:t>技术人员要求</w:t>
      </w:r>
    </w:p>
    <w:p w14:paraId="0E189590">
      <w:pPr>
        <w:keepNext w:val="0"/>
        <w:keepLines w:val="0"/>
        <w:pageBreakBefore w:val="0"/>
        <w:widowControl/>
        <w:kinsoku/>
        <w:wordWrap/>
        <w:overflowPunct/>
        <w:topLinePunct w:val="0"/>
        <w:autoSpaceDE/>
        <w:autoSpaceDN/>
        <w:bidi w:val="0"/>
        <w:adjustRightInd/>
        <w:spacing w:line="420" w:lineRule="exact"/>
        <w:ind w:firstLine="560" w:firstLineChars="200"/>
        <w:jc w:val="left"/>
        <w:textAlignment w:val="auto"/>
        <w:rPr>
          <w:rFonts w:hint="eastAsia" w:asciiTheme="minorEastAsia" w:hAnsiTheme="minorEastAsia" w:eastAsiaTheme="minorEastAsia" w:cstheme="minorEastAsia"/>
          <w:color w:val="auto"/>
          <w:sz w:val="28"/>
          <w:szCs w:val="28"/>
          <w:highlight w:val="none"/>
          <w:lang w:eastAsia="zh-CN"/>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1</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rPr>
        <w:t>须指派项目负责人</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技术负责人各</w:t>
      </w:r>
      <w:r>
        <w:rPr>
          <w:rFonts w:hint="eastAsia" w:asciiTheme="minorEastAsia" w:hAnsiTheme="minorEastAsia" w:eastAsiaTheme="minorEastAsia" w:cstheme="minorEastAsia"/>
          <w:color w:val="auto"/>
          <w:sz w:val="28"/>
          <w:szCs w:val="28"/>
          <w:highlight w:val="none"/>
        </w:rPr>
        <w:t>1名</w:t>
      </w:r>
      <w:r>
        <w:rPr>
          <w:rFonts w:hint="eastAsia" w:asciiTheme="minorEastAsia" w:hAnsiTheme="minorEastAsia" w:eastAsiaTheme="minorEastAsia" w:cstheme="minorEastAsia"/>
          <w:color w:val="auto"/>
          <w:sz w:val="28"/>
          <w:szCs w:val="28"/>
          <w:highlight w:val="none"/>
          <w:lang w:eastAsia="zh-CN"/>
        </w:rPr>
        <w:t>。</w:t>
      </w:r>
    </w:p>
    <w:p w14:paraId="5F5447F9">
      <w:pPr>
        <w:keepNext w:val="0"/>
        <w:keepLines w:val="0"/>
        <w:pageBreakBefore w:val="0"/>
        <w:widowControl/>
        <w:kinsoku/>
        <w:wordWrap/>
        <w:overflowPunct/>
        <w:topLinePunct w:val="0"/>
        <w:autoSpaceDE/>
        <w:autoSpaceDN/>
        <w:bidi w:val="0"/>
        <w:adjustRightInd/>
        <w:spacing w:line="420" w:lineRule="exact"/>
        <w:ind w:firstLine="560" w:firstLineChars="200"/>
        <w:jc w:val="left"/>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2</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须派驻一名</w:t>
      </w:r>
      <w:r>
        <w:rPr>
          <w:rFonts w:hint="eastAsia" w:asciiTheme="minorEastAsia" w:hAnsiTheme="minorEastAsia" w:eastAsiaTheme="minorEastAsia" w:cstheme="minorEastAsia"/>
          <w:b w:val="0"/>
          <w:bCs w:val="0"/>
          <w:color w:val="auto"/>
          <w:sz w:val="28"/>
          <w:szCs w:val="28"/>
          <w:highlight w:val="none"/>
          <w:lang w:val="en-US" w:eastAsia="zh-CN"/>
        </w:rPr>
        <w:t>应通过消防行业特有工种职业技能鉴定、</w:t>
      </w:r>
      <w:r>
        <w:rPr>
          <w:rFonts w:hint="eastAsia" w:asciiTheme="minorEastAsia" w:hAnsiTheme="minorEastAsia" w:eastAsiaTheme="minorEastAsia" w:cstheme="minorEastAsia"/>
          <w:b w:val="0"/>
          <w:bCs w:val="0"/>
          <w:color w:val="auto"/>
          <w:sz w:val="28"/>
          <w:szCs w:val="28"/>
          <w:highlight w:val="none"/>
        </w:rPr>
        <w:t>持有</w:t>
      </w:r>
      <w:r>
        <w:rPr>
          <w:rFonts w:hint="eastAsia" w:asciiTheme="minorEastAsia" w:hAnsiTheme="minorEastAsia" w:eastAsiaTheme="minorEastAsia" w:cstheme="minorEastAsia"/>
          <w:b w:val="0"/>
          <w:bCs w:val="0"/>
          <w:color w:val="auto"/>
          <w:sz w:val="28"/>
          <w:szCs w:val="28"/>
          <w:highlight w:val="none"/>
          <w:lang w:val="en-US" w:eastAsia="zh-CN"/>
        </w:rPr>
        <w:t>中级</w:t>
      </w:r>
      <w:r>
        <w:rPr>
          <w:rFonts w:hint="eastAsia" w:asciiTheme="minorEastAsia" w:hAnsiTheme="minorEastAsia" w:eastAsiaTheme="minorEastAsia" w:cstheme="minorEastAsia"/>
          <w:b w:val="0"/>
          <w:bCs w:val="0"/>
          <w:color w:val="auto"/>
          <w:sz w:val="28"/>
          <w:szCs w:val="28"/>
          <w:highlight w:val="none"/>
          <w:lang w:val="en-US" w:eastAsia="zh-CN"/>
        </w:rPr>
        <w:t>技能及以上</w:t>
      </w:r>
      <w:r>
        <w:rPr>
          <w:rFonts w:hint="eastAsia" w:asciiTheme="minorEastAsia" w:hAnsiTheme="minorEastAsia" w:eastAsiaTheme="minorEastAsia" w:cstheme="minorEastAsia"/>
          <w:b w:val="0"/>
          <w:bCs w:val="0"/>
          <w:color w:val="auto"/>
          <w:sz w:val="28"/>
          <w:szCs w:val="28"/>
          <w:highlight w:val="none"/>
        </w:rPr>
        <w:t>消防设施操作员证书</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职业方向为</w:t>
      </w:r>
      <w:r>
        <w:rPr>
          <w:rFonts w:hint="eastAsia" w:asciiTheme="minorEastAsia" w:hAnsiTheme="minorEastAsia" w:eastAsiaTheme="minorEastAsia" w:cstheme="minorEastAsia"/>
          <w:b w:val="0"/>
          <w:bCs w:val="0"/>
          <w:color w:val="auto"/>
          <w:sz w:val="28"/>
          <w:szCs w:val="28"/>
          <w:highlight w:val="none"/>
          <w:lang w:eastAsia="zh-CN"/>
        </w:rPr>
        <w:t>消防设施检测维修保</w:t>
      </w:r>
      <w:r>
        <w:rPr>
          <w:rFonts w:hint="eastAsia" w:asciiTheme="minorEastAsia" w:hAnsiTheme="minorEastAsia" w:eastAsiaTheme="minorEastAsia" w:cstheme="minorEastAsia"/>
          <w:b w:val="0"/>
          <w:bCs w:val="0"/>
          <w:color w:val="auto"/>
          <w:sz w:val="28"/>
          <w:szCs w:val="28"/>
          <w:highlight w:val="none"/>
          <w:lang w:val="en-US" w:eastAsia="zh-CN"/>
        </w:rPr>
        <w:t>养</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的人员驻校并服从</w:t>
      </w:r>
      <w:r>
        <w:rPr>
          <w:rFonts w:hint="eastAsia" w:asciiTheme="minorEastAsia" w:hAnsiTheme="minorEastAsia" w:eastAsiaTheme="minorEastAsia" w:cstheme="minorEastAsia"/>
          <w:b w:val="0"/>
          <w:bCs w:val="0"/>
          <w:color w:val="auto"/>
          <w:sz w:val="28"/>
          <w:szCs w:val="28"/>
          <w:highlight w:val="none"/>
          <w:lang w:val="en-US" w:eastAsia="zh-CN"/>
        </w:rPr>
        <w:t>招标人</w:t>
      </w:r>
      <w:r>
        <w:rPr>
          <w:rFonts w:hint="eastAsia" w:asciiTheme="minorEastAsia" w:hAnsiTheme="minorEastAsia" w:eastAsiaTheme="minorEastAsia" w:cstheme="minorEastAsia"/>
          <w:b w:val="0"/>
          <w:bCs w:val="0"/>
          <w:color w:val="auto"/>
          <w:sz w:val="28"/>
          <w:szCs w:val="28"/>
          <w:highlight w:val="none"/>
        </w:rPr>
        <w:t>管理。驻校人员主要负责消防设备、器材（如：灭火器（箱）、水带、消防栓（框）、各类消防灯具等）日常检查</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通过扫描江苏省社会单位消防安全管理系统的二维码及填写点检卡完成</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对于灭火器、水带、消火栓（框）、各类灯具等出现损坏时负责</w:t>
      </w:r>
      <w:r>
        <w:rPr>
          <w:rFonts w:hint="eastAsia" w:asciiTheme="minorEastAsia" w:hAnsiTheme="minorEastAsia" w:eastAsiaTheme="minorEastAsia" w:cstheme="minorEastAsia"/>
          <w:b w:val="0"/>
          <w:bCs w:val="0"/>
          <w:color w:val="auto"/>
          <w:sz w:val="28"/>
          <w:szCs w:val="28"/>
          <w:highlight w:val="none"/>
        </w:rPr>
        <w:t>更换和维修工作。辅助校方完成临时消防工作任务。</w:t>
      </w:r>
      <w:r>
        <w:rPr>
          <w:rFonts w:hint="eastAsia" w:asciiTheme="minorEastAsia" w:hAnsiTheme="minorEastAsia" w:eastAsiaTheme="minorEastAsia" w:cstheme="minorEastAsia"/>
          <w:b w:val="0"/>
          <w:bCs w:val="0"/>
          <w:color w:val="auto"/>
          <w:sz w:val="28"/>
          <w:szCs w:val="28"/>
          <w:highlight w:val="none"/>
          <w:lang w:val="en-US" w:eastAsia="zh-CN"/>
        </w:rPr>
        <w:t>驻校工作时间为</w:t>
      </w:r>
      <w:r>
        <w:rPr>
          <w:rFonts w:hint="eastAsia" w:asciiTheme="minorEastAsia" w:hAnsiTheme="minorEastAsia" w:eastAsiaTheme="minorEastAsia" w:cstheme="minorEastAsia"/>
          <w:b w:val="0"/>
          <w:bCs w:val="0"/>
          <w:color w:val="auto"/>
          <w:sz w:val="28"/>
          <w:szCs w:val="28"/>
          <w:highlight w:val="none"/>
        </w:rPr>
        <w:t>工作日8:00-17:00,突发情况随叫随到。</w:t>
      </w:r>
    </w:p>
    <w:p w14:paraId="0B1F0F80">
      <w:pPr>
        <w:keepNext w:val="0"/>
        <w:keepLines w:val="0"/>
        <w:pageBreakBefore w:val="0"/>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b w:val="0"/>
          <w:bCs w:val="0"/>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招标人</w:t>
      </w:r>
      <w:r>
        <w:rPr>
          <w:rFonts w:hint="eastAsia" w:asciiTheme="minorEastAsia" w:hAnsiTheme="minorEastAsia" w:eastAsiaTheme="minorEastAsia" w:cstheme="minorEastAsia"/>
          <w:b w:val="0"/>
          <w:bCs w:val="0"/>
          <w:color w:val="auto"/>
          <w:sz w:val="28"/>
          <w:szCs w:val="28"/>
          <w:highlight w:val="none"/>
        </w:rPr>
        <w:t>提供驻校人员维修或更换时所需的消防器材配件</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如遇消防系统突发损坏，需要及时修复且驻校人员1人无法及时修复的，</w:t>
      </w:r>
      <w:r>
        <w:rPr>
          <w:rFonts w:hint="eastAsia" w:asciiTheme="minorEastAsia" w:hAnsiTheme="minorEastAsia" w:eastAsiaTheme="minorEastAsia" w:cstheme="minorEastAsia"/>
          <w:b w:val="0"/>
          <w:bCs w:val="0"/>
          <w:color w:val="auto"/>
          <w:sz w:val="28"/>
          <w:szCs w:val="28"/>
          <w:highlight w:val="none"/>
          <w:lang w:val="en-US" w:eastAsia="zh-CN"/>
        </w:rPr>
        <w:t>招标人</w:t>
      </w:r>
      <w:r>
        <w:rPr>
          <w:rFonts w:hint="eastAsia" w:asciiTheme="minorEastAsia" w:hAnsiTheme="minorEastAsia" w:eastAsiaTheme="minorEastAsia" w:cstheme="minorEastAsia"/>
          <w:b w:val="0"/>
          <w:bCs w:val="0"/>
          <w:color w:val="auto"/>
          <w:sz w:val="28"/>
          <w:szCs w:val="28"/>
          <w:highlight w:val="none"/>
        </w:rPr>
        <w:t>可参照市场标准每工300元/天</w:t>
      </w:r>
      <w:r>
        <w:rPr>
          <w:rFonts w:hint="eastAsia" w:asciiTheme="minorEastAsia" w:hAnsiTheme="minorEastAsia" w:eastAsiaTheme="minorEastAsia" w:cstheme="minorEastAsia"/>
          <w:b w:val="0"/>
          <w:bCs w:val="0"/>
          <w:color w:val="auto"/>
          <w:sz w:val="28"/>
          <w:szCs w:val="28"/>
          <w:highlight w:val="none"/>
          <w:lang w:val="en-US" w:eastAsia="zh-CN"/>
        </w:rPr>
        <w:t>要求中标人</w:t>
      </w:r>
      <w:r>
        <w:rPr>
          <w:rFonts w:hint="eastAsia" w:asciiTheme="minorEastAsia" w:hAnsiTheme="minorEastAsia" w:eastAsiaTheme="minorEastAsia" w:cstheme="minorEastAsia"/>
          <w:b w:val="0"/>
          <w:bCs w:val="0"/>
          <w:color w:val="auto"/>
          <w:sz w:val="28"/>
          <w:szCs w:val="28"/>
          <w:highlight w:val="none"/>
        </w:rPr>
        <w:t>增设</w:t>
      </w:r>
      <w:r>
        <w:rPr>
          <w:rFonts w:hint="eastAsia" w:asciiTheme="minorEastAsia" w:hAnsiTheme="minorEastAsia" w:eastAsiaTheme="minorEastAsia" w:cstheme="minorEastAsia"/>
          <w:b w:val="0"/>
          <w:bCs w:val="0"/>
          <w:color w:val="auto"/>
          <w:sz w:val="28"/>
          <w:szCs w:val="28"/>
          <w:highlight w:val="none"/>
          <w:lang w:val="en-US" w:eastAsia="zh-CN"/>
        </w:rPr>
        <w:t>维修人员帮助</w:t>
      </w:r>
      <w:r>
        <w:rPr>
          <w:rFonts w:hint="eastAsia" w:asciiTheme="minorEastAsia" w:hAnsiTheme="minorEastAsia" w:eastAsiaTheme="minorEastAsia" w:cstheme="minorEastAsia"/>
          <w:b w:val="0"/>
          <w:bCs w:val="0"/>
          <w:color w:val="auto"/>
          <w:sz w:val="28"/>
          <w:szCs w:val="28"/>
          <w:highlight w:val="none"/>
        </w:rPr>
        <w:t>完成修复工作</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lang w:val="en-US" w:eastAsia="zh-CN"/>
        </w:rPr>
        <w:t>增设人力补助产生的费用由招标人支付</w:t>
      </w:r>
      <w:r>
        <w:rPr>
          <w:rFonts w:hint="eastAsia" w:asciiTheme="minorEastAsia" w:hAnsiTheme="minorEastAsia" w:eastAsiaTheme="minorEastAsia" w:cstheme="minorEastAsia"/>
          <w:b w:val="0"/>
          <w:bCs w:val="0"/>
          <w:color w:val="auto"/>
          <w:sz w:val="28"/>
          <w:szCs w:val="28"/>
          <w:highlight w:val="none"/>
          <w:lang w:eastAsia="zh-CN"/>
        </w:rPr>
        <w:t>）</w:t>
      </w:r>
      <w:r>
        <w:rPr>
          <w:rFonts w:hint="eastAsia" w:asciiTheme="minorEastAsia" w:hAnsiTheme="minorEastAsia" w:eastAsiaTheme="minorEastAsia" w:cstheme="minorEastAsia"/>
          <w:b w:val="0"/>
          <w:bCs w:val="0"/>
          <w:color w:val="auto"/>
          <w:sz w:val="28"/>
          <w:szCs w:val="28"/>
          <w:highlight w:val="none"/>
        </w:rPr>
        <w:t>。</w:t>
      </w:r>
    </w:p>
    <w:p w14:paraId="2642EC47">
      <w:pPr>
        <w:pStyle w:val="35"/>
        <w:keepNext w:val="0"/>
        <w:keepLines w:val="0"/>
        <w:pageBreakBefore w:val="0"/>
        <w:kinsoku/>
        <w:wordWrap/>
        <w:overflowPunct/>
        <w:topLinePunct w:val="0"/>
        <w:autoSpaceDE/>
        <w:autoSpaceDN/>
        <w:bidi w:val="0"/>
        <w:adjustRightInd/>
        <w:spacing w:line="420" w:lineRule="exact"/>
        <w:ind w:left="0" w:leftChars="0" w:firstLine="0" w:firstLineChars="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b w:val="0"/>
          <w:bCs w:val="0"/>
          <w:color w:val="auto"/>
          <w:sz w:val="28"/>
          <w:szCs w:val="28"/>
          <w:highlight w:val="none"/>
          <w:lang w:val="en-US" w:eastAsia="zh-CN"/>
        </w:rPr>
        <w:t xml:space="preserve">    （3）须</w:t>
      </w:r>
      <w:r>
        <w:rPr>
          <w:rFonts w:hint="eastAsia" w:asciiTheme="minorEastAsia" w:hAnsiTheme="minorEastAsia" w:eastAsiaTheme="minorEastAsia" w:cstheme="minorEastAsia"/>
          <w:b w:val="0"/>
          <w:bCs w:val="0"/>
          <w:color w:val="auto"/>
          <w:sz w:val="28"/>
          <w:szCs w:val="28"/>
          <w:highlight w:val="none"/>
        </w:rPr>
        <w:t>安排4名</w:t>
      </w:r>
      <w:r>
        <w:rPr>
          <w:rFonts w:hint="eastAsia" w:asciiTheme="minorEastAsia" w:hAnsiTheme="minorEastAsia" w:eastAsiaTheme="minorEastAsia" w:cstheme="minorEastAsia"/>
          <w:b w:val="0"/>
          <w:bCs w:val="0"/>
          <w:color w:val="auto"/>
          <w:sz w:val="28"/>
          <w:szCs w:val="28"/>
          <w:highlight w:val="none"/>
          <w:lang w:val="en-US" w:eastAsia="zh-CN"/>
        </w:rPr>
        <w:t>或</w:t>
      </w:r>
      <w:r>
        <w:rPr>
          <w:rFonts w:hint="eastAsia" w:asciiTheme="minorEastAsia" w:hAnsiTheme="minorEastAsia" w:eastAsiaTheme="minorEastAsia" w:cstheme="minorEastAsia"/>
          <w:b w:val="0"/>
          <w:bCs w:val="0"/>
          <w:color w:val="auto"/>
          <w:sz w:val="28"/>
          <w:szCs w:val="28"/>
          <w:highlight w:val="none"/>
        </w:rPr>
        <w:t>以上</w:t>
      </w:r>
      <w:r>
        <w:rPr>
          <w:rFonts w:hint="eastAsia" w:asciiTheme="minorEastAsia" w:hAnsiTheme="minorEastAsia" w:eastAsiaTheme="minorEastAsia" w:cstheme="minorEastAsia"/>
          <w:b w:val="0"/>
          <w:bCs w:val="0"/>
          <w:color w:val="auto"/>
          <w:sz w:val="28"/>
          <w:szCs w:val="28"/>
          <w:highlight w:val="none"/>
          <w:lang w:val="en-US" w:eastAsia="zh-CN"/>
        </w:rPr>
        <w:t>通过消防行业特有工种职业技能鉴定、持有中级技能及以上等级职业资格证书</w:t>
      </w:r>
      <w:r>
        <w:rPr>
          <w:rFonts w:hint="eastAsia" w:asciiTheme="minorEastAsia" w:hAnsiTheme="minorEastAsia" w:eastAsiaTheme="minorEastAsia" w:cstheme="minorEastAsia"/>
          <w:b w:val="0"/>
          <w:bCs w:val="0"/>
          <w:color w:val="auto"/>
          <w:sz w:val="28"/>
          <w:szCs w:val="28"/>
          <w:highlight w:val="none"/>
        </w:rPr>
        <w:t>（不得包含驻校人员）维保技术人员每月对维保范围内的所有消防系统进行一次全面系统检测和常规保养，对故障进行原因排查与解决处理方案并出具每月维保检测报告书（内容必须对应上一月报告书所涉及需要维修落实情况说明）。每季度出具单位消防系统检测报告书，同时每季度完成一次向总消控室管理值班人员提供操作培训与技术咨询服务。年终出具单位消防系统年度检测报告书</w:t>
      </w:r>
      <w:r>
        <w:rPr>
          <w:rFonts w:hint="eastAsia" w:asciiTheme="minorEastAsia" w:hAnsiTheme="minorEastAsia" w:eastAsiaTheme="minorEastAsia" w:cstheme="minorEastAsia"/>
          <w:color w:val="auto"/>
          <w:sz w:val="28"/>
          <w:szCs w:val="28"/>
          <w:highlight w:val="none"/>
        </w:rPr>
        <w:t>。</w:t>
      </w:r>
    </w:p>
    <w:p w14:paraId="3233775D">
      <w:pPr>
        <w:pStyle w:val="35"/>
        <w:keepNext w:val="0"/>
        <w:keepLines w:val="0"/>
        <w:pageBreakBefore w:val="0"/>
        <w:kinsoku/>
        <w:wordWrap/>
        <w:overflowPunct/>
        <w:topLinePunct w:val="0"/>
        <w:autoSpaceDE/>
        <w:autoSpaceDN/>
        <w:bidi w:val="0"/>
        <w:adjustRightInd/>
        <w:spacing w:line="420" w:lineRule="exact"/>
        <w:ind w:left="0" w:leftChars="0"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lang w:eastAsia="zh-CN"/>
        </w:rPr>
        <w:t>）</w:t>
      </w:r>
      <w:r>
        <w:rPr>
          <w:rFonts w:hint="eastAsia" w:asciiTheme="minorEastAsia" w:hAnsiTheme="minorEastAsia" w:eastAsiaTheme="minorEastAsia" w:cstheme="minorEastAsia"/>
          <w:color w:val="auto"/>
          <w:sz w:val="28"/>
          <w:szCs w:val="28"/>
          <w:highlight w:val="none"/>
          <w:lang w:val="en-US" w:eastAsia="zh-CN"/>
        </w:rPr>
        <w:t>结论文件</w:t>
      </w:r>
    </w:p>
    <w:p w14:paraId="4BCAC252">
      <w:pPr>
        <w:pStyle w:val="35"/>
        <w:keepNext w:val="0"/>
        <w:keepLines w:val="0"/>
        <w:pageBreakBefore w:val="0"/>
        <w:kinsoku/>
        <w:wordWrap/>
        <w:overflowPunct/>
        <w:topLinePunct w:val="0"/>
        <w:autoSpaceDE/>
        <w:autoSpaceDN/>
        <w:bidi w:val="0"/>
        <w:adjustRightInd/>
        <w:spacing w:line="420" w:lineRule="exact"/>
        <w:ind w:left="0" w:leftChars="0" w:firstLine="560" w:firstLineChars="200"/>
        <w:textAlignment w:val="auto"/>
        <w:rPr>
          <w:rFonts w:hint="default" w:asciiTheme="minorEastAsia" w:hAnsiTheme="minorEastAsia" w:eastAsiaTheme="minorEastAsia" w:cstheme="minorEastAsia"/>
          <w:color w:val="auto"/>
          <w:sz w:val="28"/>
          <w:szCs w:val="28"/>
          <w:highlight w:val="none"/>
          <w:lang w:val="en-US" w:eastAsia="zh-CN"/>
        </w:rPr>
      </w:pPr>
      <w:r>
        <w:rPr>
          <w:rFonts w:hint="eastAsia" w:asciiTheme="minorEastAsia" w:hAnsiTheme="minorEastAsia" w:eastAsiaTheme="minorEastAsia" w:cstheme="minorEastAsia"/>
          <w:color w:val="auto"/>
          <w:sz w:val="28"/>
          <w:szCs w:val="28"/>
          <w:highlight w:val="none"/>
          <w:lang w:val="en-US" w:eastAsia="zh-CN"/>
        </w:rPr>
        <w:t>中标人应根据每月消防设施维护保养任务完成情况，形成书面建筑消防设施维护保养月度报告。将12个月作为一个维护保养服务周期，第12个月应对建筑消防设施运行状态进行全面总结和评估，形成年度报告。具体要求见</w:t>
      </w:r>
      <w:r>
        <w:rPr>
          <w:rFonts w:hint="eastAsia" w:asciiTheme="minorEastAsia" w:hAnsiTheme="minorEastAsia" w:eastAsiaTheme="minorEastAsia" w:cstheme="minorEastAsia"/>
          <w:b w:val="0"/>
          <w:bCs w:val="0"/>
          <w:color w:val="auto"/>
          <w:sz w:val="28"/>
          <w:szCs w:val="28"/>
          <w:highlight w:val="none"/>
          <w:lang w:val="en-US" w:eastAsia="zh-CN"/>
        </w:rPr>
        <w:t>《建筑消防设施维护保养规程》（DB32/T 4696-2024）中“8.5结论文件”。</w:t>
      </w:r>
    </w:p>
    <w:p w14:paraId="668F40CD">
      <w:pPr>
        <w:keepNext w:val="0"/>
        <w:keepLines w:val="0"/>
        <w:pageBreakBefore w:val="0"/>
        <w:widowControl/>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4．其它要求</w:t>
      </w:r>
    </w:p>
    <w:p w14:paraId="73708F98">
      <w:pPr>
        <w:keepNext w:val="0"/>
        <w:keepLines w:val="0"/>
        <w:pageBreakBefore w:val="0"/>
        <w:widowControl/>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（1）因重大节日、活动消防安全需要，配合校方对消防设施进行检测和消防检查、消防培训，以及其它相关工作。做好消防设施资料建档工作，及时更新台帐资料。</w:t>
      </w:r>
    </w:p>
    <w:p w14:paraId="418F2AC3">
      <w:pPr>
        <w:keepNext w:val="0"/>
        <w:keepLines w:val="0"/>
        <w:pageBreakBefore w:val="0"/>
        <w:widowControl/>
        <w:kinsoku/>
        <w:wordWrap/>
        <w:overflowPunct/>
        <w:topLinePunct w:val="0"/>
        <w:autoSpaceDE/>
        <w:autoSpaceDN/>
        <w:bidi w:val="0"/>
        <w:adjustRightInd/>
        <w:spacing w:line="420" w:lineRule="exact"/>
        <w:ind w:firstLine="560" w:firstLineChars="200"/>
        <w:textAlignment w:val="auto"/>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（2）每月月</w:t>
      </w:r>
      <w:r>
        <w:rPr>
          <w:rFonts w:hint="eastAsia" w:asciiTheme="minorEastAsia" w:hAnsiTheme="minorEastAsia" w:eastAsiaTheme="minorEastAsia" w:cstheme="minorEastAsia"/>
          <w:color w:val="auto"/>
          <w:sz w:val="28"/>
          <w:szCs w:val="28"/>
          <w:highlight w:val="none"/>
          <w:lang w:val="en-US" w:eastAsia="zh-CN"/>
        </w:rPr>
        <w:t>初</w:t>
      </w:r>
      <w:r>
        <w:rPr>
          <w:rFonts w:hint="eastAsia" w:asciiTheme="minorEastAsia" w:hAnsiTheme="minorEastAsia" w:eastAsiaTheme="minorEastAsia" w:cstheme="minorEastAsia"/>
          <w:color w:val="auto"/>
          <w:sz w:val="28"/>
          <w:szCs w:val="28"/>
          <w:highlight w:val="none"/>
        </w:rPr>
        <w:t>之前，将</w:t>
      </w:r>
      <w:r>
        <w:rPr>
          <w:rFonts w:hint="eastAsia" w:asciiTheme="minorEastAsia" w:hAnsiTheme="minorEastAsia" w:eastAsiaTheme="minorEastAsia" w:cstheme="minorEastAsia"/>
          <w:color w:val="auto"/>
          <w:sz w:val="28"/>
          <w:szCs w:val="28"/>
          <w:highlight w:val="none"/>
          <w:lang w:val="en-US" w:eastAsia="zh-CN"/>
        </w:rPr>
        <w:t>上</w:t>
      </w:r>
      <w:r>
        <w:rPr>
          <w:rFonts w:hint="eastAsia" w:asciiTheme="minorEastAsia" w:hAnsiTheme="minorEastAsia" w:eastAsiaTheme="minorEastAsia" w:cstheme="minorEastAsia"/>
          <w:color w:val="auto"/>
          <w:sz w:val="28"/>
          <w:szCs w:val="28"/>
          <w:highlight w:val="none"/>
        </w:rPr>
        <w:t>月度</w:t>
      </w:r>
      <w:r>
        <w:rPr>
          <w:rFonts w:hint="eastAsia" w:asciiTheme="minorEastAsia" w:hAnsiTheme="minorEastAsia" w:eastAsiaTheme="minorEastAsia" w:cstheme="minorEastAsia"/>
          <w:color w:val="auto"/>
          <w:sz w:val="28"/>
          <w:szCs w:val="28"/>
          <w:highlight w:val="none"/>
          <w:lang w:val="en-US" w:eastAsia="zh-CN"/>
        </w:rPr>
        <w:t>巡查、</w:t>
      </w:r>
      <w:r>
        <w:rPr>
          <w:rFonts w:hint="eastAsia" w:asciiTheme="minorEastAsia" w:hAnsiTheme="minorEastAsia" w:eastAsiaTheme="minorEastAsia" w:cstheme="minorEastAsia"/>
          <w:color w:val="auto"/>
          <w:sz w:val="28"/>
          <w:szCs w:val="28"/>
          <w:highlight w:val="none"/>
        </w:rPr>
        <w:t>检测记录报</w:t>
      </w:r>
      <w:r>
        <w:rPr>
          <w:rFonts w:hint="eastAsia" w:asciiTheme="minorEastAsia" w:hAnsiTheme="minorEastAsia" w:eastAsiaTheme="minorEastAsia" w:cstheme="minorEastAsia"/>
          <w:color w:val="auto"/>
          <w:sz w:val="28"/>
          <w:szCs w:val="28"/>
          <w:highlight w:val="none"/>
          <w:lang w:val="en-US" w:eastAsia="zh-CN"/>
        </w:rPr>
        <w:t>保卫处</w:t>
      </w:r>
      <w:r>
        <w:rPr>
          <w:rFonts w:hint="eastAsia" w:asciiTheme="minorEastAsia" w:hAnsiTheme="minorEastAsia" w:eastAsiaTheme="minorEastAsia" w:cstheme="minorEastAsia"/>
          <w:color w:val="auto"/>
          <w:sz w:val="28"/>
          <w:szCs w:val="28"/>
          <w:highlight w:val="none"/>
        </w:rPr>
        <w:t>备案。《建筑消防设施巡查记录表》</w:t>
      </w:r>
      <w:r>
        <w:rPr>
          <w:rFonts w:hint="eastAsia" w:asciiTheme="minorEastAsia" w:hAnsiTheme="minorEastAsia" w:eastAsiaTheme="minorEastAsia" w:cstheme="minorEastAsia"/>
          <w:color w:val="auto"/>
          <w:sz w:val="28"/>
          <w:szCs w:val="28"/>
          <w:highlight w:val="none"/>
          <w:lang w:eastAsia="zh-CN"/>
        </w:rPr>
        <w:t>《建筑消防设施检测记录表》</w:t>
      </w:r>
      <w:r>
        <w:rPr>
          <w:rFonts w:hint="eastAsia" w:asciiTheme="minorEastAsia" w:hAnsiTheme="minorEastAsia" w:eastAsiaTheme="minorEastAsia" w:cstheme="minorEastAsia"/>
          <w:color w:val="auto"/>
          <w:sz w:val="28"/>
          <w:szCs w:val="28"/>
          <w:highlight w:val="none"/>
        </w:rPr>
        <w:t>应由</w:t>
      </w:r>
      <w:r>
        <w:rPr>
          <w:rFonts w:hint="eastAsia" w:asciiTheme="minorEastAsia" w:hAnsiTheme="minorEastAsia" w:eastAsiaTheme="minorEastAsia" w:cstheme="minorEastAsia"/>
          <w:color w:val="auto"/>
          <w:sz w:val="28"/>
          <w:szCs w:val="28"/>
          <w:highlight w:val="none"/>
          <w:lang w:val="en-US" w:eastAsia="zh-CN"/>
        </w:rPr>
        <w:t>巡查、</w:t>
      </w:r>
      <w:r>
        <w:rPr>
          <w:rFonts w:hint="eastAsia" w:asciiTheme="minorEastAsia" w:hAnsiTheme="minorEastAsia" w:eastAsiaTheme="minorEastAsia" w:cstheme="minorEastAsia"/>
          <w:color w:val="auto"/>
          <w:sz w:val="28"/>
          <w:szCs w:val="28"/>
          <w:highlight w:val="none"/>
        </w:rPr>
        <w:t>检测人员签字和维保单位盖章。</w:t>
      </w:r>
      <w:r>
        <w:rPr>
          <w:rFonts w:hint="eastAsia" w:asciiTheme="minorEastAsia" w:hAnsiTheme="minorEastAsia" w:eastAsiaTheme="minorEastAsia" w:cstheme="minorEastAsia"/>
          <w:color w:val="auto"/>
          <w:sz w:val="28"/>
          <w:szCs w:val="28"/>
          <w:highlight w:val="none"/>
          <w:lang w:val="en-US" w:eastAsia="zh-CN"/>
        </w:rPr>
        <w:t>巡查、</w:t>
      </w:r>
      <w:r>
        <w:rPr>
          <w:rFonts w:hint="eastAsia" w:asciiTheme="minorEastAsia" w:hAnsiTheme="minorEastAsia" w:eastAsiaTheme="minorEastAsia" w:cstheme="minorEastAsia"/>
          <w:color w:val="auto"/>
          <w:sz w:val="28"/>
          <w:szCs w:val="28"/>
          <w:highlight w:val="none"/>
        </w:rPr>
        <w:t>检测人员和维保单位</w:t>
      </w:r>
      <w:r>
        <w:rPr>
          <w:rFonts w:hint="eastAsia" w:asciiTheme="minorEastAsia" w:hAnsiTheme="minorEastAsia" w:eastAsiaTheme="minorEastAsia" w:cstheme="minorEastAsia"/>
          <w:color w:val="auto"/>
          <w:sz w:val="28"/>
          <w:szCs w:val="28"/>
          <w:highlight w:val="none"/>
          <w:lang w:val="en-US" w:eastAsia="zh-CN"/>
        </w:rPr>
        <w:t>应认真完成巡查、检测工作，并</w:t>
      </w:r>
      <w:r>
        <w:rPr>
          <w:rFonts w:hint="eastAsia" w:asciiTheme="minorEastAsia" w:hAnsiTheme="minorEastAsia" w:eastAsiaTheme="minorEastAsia" w:cstheme="minorEastAsia"/>
          <w:color w:val="auto"/>
          <w:sz w:val="28"/>
          <w:szCs w:val="28"/>
          <w:highlight w:val="none"/>
        </w:rPr>
        <w:t>对出具的《建筑消防设施巡查记录表》</w:t>
      </w:r>
      <w:r>
        <w:rPr>
          <w:rFonts w:hint="eastAsia" w:asciiTheme="minorEastAsia" w:hAnsiTheme="minorEastAsia" w:eastAsiaTheme="minorEastAsia" w:cstheme="minorEastAsia"/>
          <w:color w:val="auto"/>
          <w:sz w:val="28"/>
          <w:szCs w:val="28"/>
          <w:highlight w:val="none"/>
          <w:lang w:eastAsia="zh-CN"/>
        </w:rPr>
        <w:t>《建筑消防设施检测记录表》</w:t>
      </w:r>
      <w:r>
        <w:rPr>
          <w:rFonts w:hint="eastAsia" w:asciiTheme="minorEastAsia" w:hAnsiTheme="minorEastAsia" w:eastAsiaTheme="minorEastAsia" w:cstheme="minorEastAsia"/>
          <w:color w:val="auto"/>
          <w:sz w:val="28"/>
          <w:szCs w:val="28"/>
          <w:highlight w:val="none"/>
        </w:rPr>
        <w:t>负</w:t>
      </w:r>
      <w:r>
        <w:rPr>
          <w:rFonts w:hint="eastAsia" w:asciiTheme="minorEastAsia" w:hAnsiTheme="minorEastAsia" w:eastAsiaTheme="minorEastAsia" w:cstheme="minorEastAsia"/>
          <w:color w:val="auto"/>
          <w:sz w:val="28"/>
          <w:szCs w:val="28"/>
          <w:highlight w:val="none"/>
          <w:lang w:val="en-US" w:eastAsia="zh-CN"/>
        </w:rPr>
        <w:t>法律责任</w:t>
      </w:r>
      <w:r>
        <w:rPr>
          <w:rFonts w:hint="eastAsia" w:asciiTheme="minorEastAsia" w:hAnsiTheme="minorEastAsia" w:eastAsiaTheme="minorEastAsia" w:cstheme="minorEastAsia"/>
          <w:color w:val="auto"/>
          <w:sz w:val="28"/>
          <w:szCs w:val="28"/>
          <w:highlight w:val="none"/>
        </w:rPr>
        <w:t>。</w:t>
      </w:r>
    </w:p>
    <w:p w14:paraId="6B02534D">
      <w:pPr>
        <w:keepNext w:val="0"/>
        <w:keepLines w:val="0"/>
        <w:pageBreakBefore w:val="0"/>
        <w:widowControl/>
        <w:numPr>
          <w:ilvl w:val="-1"/>
          <w:numId w:val="0"/>
        </w:numPr>
        <w:kinsoku/>
        <w:wordWrap/>
        <w:overflowPunct/>
        <w:topLinePunct w:val="0"/>
        <w:autoSpaceDE/>
        <w:autoSpaceDN/>
        <w:bidi w:val="0"/>
        <w:adjustRightInd/>
        <w:spacing w:line="420" w:lineRule="exact"/>
        <w:ind w:firstLine="562" w:firstLineChars="200"/>
        <w:textAlignment w:val="auto"/>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5</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kern w:val="0"/>
          <w:sz w:val="28"/>
          <w:szCs w:val="28"/>
          <w:highlight w:val="none"/>
          <w:lang w:val="en-US" w:eastAsia="zh-CN"/>
        </w:rPr>
        <w:t>《智慧消防综合管理平台》及《江苏省社会单位消防</w:t>
      </w:r>
      <w:r>
        <w:rPr>
          <w:rFonts w:hint="eastAsia" w:asciiTheme="minorEastAsia" w:hAnsiTheme="minorEastAsia" w:eastAsiaTheme="minorEastAsia" w:cstheme="minorEastAsia"/>
          <w:b/>
          <w:bCs/>
          <w:color w:val="auto"/>
          <w:sz w:val="28"/>
          <w:szCs w:val="28"/>
          <w:highlight w:val="none"/>
          <w:lang w:val="en-US" w:eastAsia="zh-CN"/>
        </w:rPr>
        <w:t>安全管理系统</w:t>
      </w:r>
      <w:r>
        <w:rPr>
          <w:rFonts w:hint="eastAsia" w:asciiTheme="minorEastAsia" w:hAnsiTheme="minorEastAsia" w:eastAsiaTheme="minorEastAsia" w:cstheme="minorEastAsia"/>
          <w:b/>
          <w:bCs/>
          <w:color w:val="auto"/>
          <w:kern w:val="0"/>
          <w:sz w:val="28"/>
          <w:szCs w:val="28"/>
          <w:highlight w:val="none"/>
          <w:lang w:val="en-US" w:eastAsia="zh-CN"/>
        </w:rPr>
        <w:t>》的日常维护与使用</w:t>
      </w:r>
    </w:p>
    <w:p w14:paraId="53CA5A86">
      <w:pPr>
        <w:keepNext w:val="0"/>
        <w:keepLines w:val="0"/>
        <w:pageBreakBefore w:val="0"/>
        <w:widowControl/>
        <w:kinsoku/>
        <w:wordWrap/>
        <w:overflowPunct/>
        <w:topLinePunct w:val="0"/>
        <w:autoSpaceDE/>
        <w:autoSpaceDN/>
        <w:bidi w:val="0"/>
        <w:adjustRightInd/>
        <w:spacing w:line="420" w:lineRule="exact"/>
        <w:ind w:firstLine="562" w:firstLineChars="200"/>
        <w:textAlignment w:val="auto"/>
        <w:rPr>
          <w:rFonts w:hint="eastAsia" w:asciiTheme="minorEastAsia" w:hAnsiTheme="minorEastAsia" w:eastAsiaTheme="minorEastAsia" w:cstheme="minorEastAsia"/>
          <w:b/>
          <w:bCs/>
          <w:color w:val="auto"/>
          <w:kern w:val="0"/>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t>每天上班后驻校人员查看两个平台系统运行情况，处理平台系统上出现的各类报警，确保消防系统正常运行。如平台系统及属于各类设备出现故障，负责与平台供应商对接处理故障。如属于硬件故障，由招标人采购该硬件设备后负责配合安装。服务期内，招标人可能在《智慧消防综合管理平台》上新增功能或设备，中标人应无条件纳入日常维护与使用。</w:t>
      </w:r>
    </w:p>
    <w:p w14:paraId="03F80F70">
      <w:pPr>
        <w:pStyle w:val="35"/>
        <w:keepNext w:val="0"/>
        <w:keepLines w:val="0"/>
        <w:pageBreakBefore w:val="0"/>
        <w:widowControl w:val="0"/>
        <w:kinsoku/>
        <w:wordWrap/>
        <w:overflowPunct/>
        <w:topLinePunct w:val="0"/>
        <w:autoSpaceDE/>
        <w:autoSpaceDN/>
        <w:bidi w:val="0"/>
        <w:adjustRightInd/>
        <w:snapToGrid/>
        <w:spacing w:line="420" w:lineRule="exact"/>
        <w:ind w:left="0" w:leftChars="0" w:firstLine="562" w:firstLineChars="200"/>
        <w:textAlignment w:val="auto"/>
        <w:rPr>
          <w:rFonts w:hint="eastAsia" w:ascii="宋体" w:hAnsi="宋体" w:eastAsia="宋体" w:cs="宋体"/>
          <w:b/>
          <w:bCs/>
          <w:color w:val="auto"/>
          <w:sz w:val="28"/>
          <w:szCs w:val="28"/>
          <w:highlight w:val="none"/>
          <w:lang w:val="en-US" w:eastAsia="zh-CN"/>
        </w:rPr>
      </w:pPr>
      <w:r>
        <w:rPr>
          <w:rFonts w:hint="eastAsia" w:asciiTheme="minorEastAsia" w:hAnsiTheme="minorEastAsia" w:eastAsiaTheme="minorEastAsia" w:cstheme="minorEastAsia"/>
          <w:b/>
          <w:bCs/>
          <w:color w:val="auto"/>
          <w:kern w:val="0"/>
          <w:sz w:val="28"/>
          <w:szCs w:val="28"/>
          <w:highlight w:val="none"/>
          <w:lang w:val="en-US" w:eastAsia="zh-CN"/>
        </w:rPr>
        <w:t>6</w:t>
      </w:r>
      <w:r>
        <w:rPr>
          <w:rFonts w:hint="eastAsia" w:asciiTheme="minorEastAsia" w:hAnsiTheme="minorEastAsia" w:eastAsiaTheme="minorEastAsia" w:cstheme="minorEastAsia"/>
          <w:b/>
          <w:bCs/>
          <w:color w:val="auto"/>
          <w:sz w:val="28"/>
          <w:szCs w:val="28"/>
          <w:highlight w:val="none"/>
        </w:rPr>
        <w:t>．</w:t>
      </w:r>
      <w:r>
        <w:rPr>
          <w:rFonts w:hint="eastAsia" w:asciiTheme="minorEastAsia" w:hAnsiTheme="minorEastAsia" w:eastAsiaTheme="minorEastAsia" w:cstheme="minorEastAsia"/>
          <w:b/>
          <w:bCs/>
          <w:color w:val="auto"/>
          <w:kern w:val="0"/>
          <w:sz w:val="28"/>
          <w:szCs w:val="28"/>
          <w:highlight w:val="none"/>
          <w:lang w:val="en-US" w:eastAsia="zh-CN"/>
        </w:rPr>
        <w:t>合同签订之日起两个月内，安排专人完成招标人所有楼宇与消防相关的所有水、电、消防设施设备施工图纸重新整理、绘制，并形成档案，整理的施工图档案必须符合《江苏省社会单位消防</w:t>
      </w:r>
      <w:r>
        <w:rPr>
          <w:rFonts w:hint="eastAsia" w:asciiTheme="minorEastAsia" w:hAnsiTheme="minorEastAsia" w:eastAsiaTheme="minorEastAsia" w:cstheme="minorEastAsia"/>
          <w:b/>
          <w:bCs/>
          <w:color w:val="auto"/>
          <w:sz w:val="28"/>
          <w:szCs w:val="28"/>
          <w:highlight w:val="none"/>
          <w:lang w:val="en-US" w:eastAsia="zh-CN"/>
        </w:rPr>
        <w:t>安全管理系统</w:t>
      </w:r>
      <w:r>
        <w:rPr>
          <w:rFonts w:hint="eastAsia" w:asciiTheme="minorEastAsia" w:hAnsiTheme="minorEastAsia" w:eastAsiaTheme="minorEastAsia" w:cstheme="minorEastAsia"/>
          <w:b/>
          <w:bCs/>
          <w:color w:val="auto"/>
          <w:kern w:val="0"/>
          <w:sz w:val="28"/>
          <w:szCs w:val="28"/>
          <w:highlight w:val="none"/>
          <w:lang w:val="en-US" w:eastAsia="zh-CN"/>
        </w:rPr>
        <w:t>》中对相关数据的要求，并在该系统中上传该档案。根据招标人的要求绘制校内楼宇的消防疏散引导图。</w:t>
      </w:r>
    </w:p>
    <w:p w14:paraId="26C8D420">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二、项目涉及到的现场勘察</w:t>
      </w:r>
    </w:p>
    <w:p w14:paraId="114D9097">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招标文件所提供的项目相关数据仅做参考，根据自身需要，投标人可在投标文件递交之日前对有关现场和周围环境进行勘察，以获取编制响应文件和签署合同所需的信息。勘察现场所发生的费用由投标人自己承担。</w:t>
      </w:r>
    </w:p>
    <w:p w14:paraId="5C9CD9DF">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2.招标人向投标人提供的有关现场的资料和数据，是招标人现有的并认为能使投标人可利用的资料。招标人对投标人由此而做出的推论、理解和结论概不负责。</w:t>
      </w:r>
    </w:p>
    <w:p w14:paraId="0C004B9D">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3.经招标人允许，投标人可为勘察目的进入招标人的项目现场，但投标人不得因此使招标人承担有关的责任和蒙受损失。投标人应承担勘察现场的责任和风险。</w:t>
      </w:r>
    </w:p>
    <w:p w14:paraId="4FDD7BEB">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投标人应认真踏勘现场。在现场勘察时，应熟悉消防设施设备的各种现实情况，以获得一切可能影响其投标的直接资料。投标人中标后，不得以不完全了解现场情况为理由而向招标人提出任何索赔的要求，对此招标人不承担任何责任并将不作任何答复与考虑。</w:t>
      </w:r>
    </w:p>
    <w:p w14:paraId="272BC9F6">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5.现场实地勘察可携带营业执照副本原件及复印件、法定代表人的委托书、被委托人身份证原件及复印件至江苏航运职业技术学院勘察（联系人：杨老师，联系电话：0513-85965600）</w:t>
      </w:r>
      <w:r>
        <w:rPr>
          <w:rFonts w:hint="eastAsia" w:ascii="宋体" w:hAnsi="宋体" w:eastAsia="宋体" w:cs="宋体"/>
          <w:b w:val="0"/>
          <w:bCs w:val="0"/>
          <w:color w:val="auto"/>
          <w:sz w:val="28"/>
          <w:szCs w:val="28"/>
          <w:highlight w:val="none"/>
          <w:lang w:val="en-US" w:eastAsia="zh-CN"/>
        </w:rPr>
        <w:t>，时间为截止开标时间前一个星期的星期五上午9：00--11：00，下午1：30-4：30。</w:t>
      </w:r>
    </w:p>
    <w:p w14:paraId="598B3BB6">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三、服务费结算</w:t>
      </w:r>
    </w:p>
    <w:p w14:paraId="2E46E0A0">
      <w:pPr>
        <w:keepNext w:val="0"/>
        <w:keepLines w:val="0"/>
        <w:pageBreakBefore w:val="0"/>
        <w:kinsoku/>
        <w:overflowPunct/>
        <w:topLinePunct w:val="0"/>
        <w:bidi w:val="0"/>
        <w:snapToGrid w:val="0"/>
        <w:spacing w:line="460" w:lineRule="exact"/>
        <w:ind w:firstLine="562" w:firstLineChars="200"/>
        <w:textAlignment w:val="auto"/>
        <w:outlineLvl w:val="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1．签订合同预付合同金额（年度消防维保服务费用）的30％；</w:t>
      </w:r>
    </w:p>
    <w:p w14:paraId="58309123">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rPr>
        <w:t>2．完成</w:t>
      </w:r>
      <w:r>
        <w:rPr>
          <w:rFonts w:hint="eastAsia" w:ascii="宋体" w:hAnsi="宋体" w:eastAsia="宋体" w:cs="宋体"/>
          <w:b w:val="0"/>
          <w:bCs w:val="0"/>
          <w:color w:val="auto"/>
          <w:sz w:val="28"/>
          <w:szCs w:val="28"/>
          <w:highlight w:val="none"/>
          <w:lang w:eastAsia="zh-CN"/>
        </w:rPr>
        <w:t>招标人</w:t>
      </w:r>
      <w:r>
        <w:rPr>
          <w:rFonts w:hint="eastAsia" w:ascii="宋体" w:hAnsi="宋体" w:eastAsia="宋体" w:cs="宋体"/>
          <w:b w:val="0"/>
          <w:bCs w:val="0"/>
          <w:color w:val="auto"/>
          <w:sz w:val="28"/>
          <w:szCs w:val="28"/>
          <w:highlight w:val="none"/>
        </w:rPr>
        <w:t>要求的消防维保服务事项，</w:t>
      </w:r>
      <w:r>
        <w:rPr>
          <w:rFonts w:hint="eastAsia" w:ascii="宋体" w:hAnsi="宋体" w:eastAsia="宋体" w:cs="宋体"/>
          <w:b w:val="0"/>
          <w:bCs w:val="0"/>
          <w:color w:val="auto"/>
          <w:sz w:val="28"/>
          <w:szCs w:val="28"/>
          <w:highlight w:val="none"/>
          <w:lang w:val="en-US" w:eastAsia="zh-CN"/>
        </w:rPr>
        <w:t>半年</w:t>
      </w:r>
      <w:r>
        <w:rPr>
          <w:rFonts w:hint="eastAsia" w:ascii="宋体" w:hAnsi="宋体" w:eastAsia="宋体" w:cs="宋体"/>
          <w:b w:val="0"/>
          <w:bCs w:val="0"/>
          <w:color w:val="auto"/>
          <w:sz w:val="28"/>
          <w:szCs w:val="28"/>
          <w:highlight w:val="none"/>
        </w:rPr>
        <w:t>支付</w:t>
      </w:r>
      <w:r>
        <w:rPr>
          <w:rFonts w:hint="eastAsia" w:ascii="宋体" w:hAnsi="宋体" w:eastAsia="宋体" w:cs="宋体"/>
          <w:b w:val="0"/>
          <w:bCs w:val="0"/>
          <w:color w:val="auto"/>
          <w:sz w:val="28"/>
          <w:szCs w:val="28"/>
          <w:highlight w:val="none"/>
          <w:lang w:val="en-US" w:eastAsia="zh-CN"/>
        </w:rPr>
        <w:t>至</w:t>
      </w:r>
      <w:r>
        <w:rPr>
          <w:rFonts w:hint="eastAsia" w:ascii="宋体" w:hAnsi="宋体" w:eastAsia="宋体" w:cs="宋体"/>
          <w:b w:val="0"/>
          <w:bCs w:val="0"/>
          <w:color w:val="auto"/>
          <w:sz w:val="28"/>
          <w:szCs w:val="28"/>
          <w:highlight w:val="none"/>
        </w:rPr>
        <w:t>合同金额（年度消防维保服务费用）</w:t>
      </w:r>
      <w:r>
        <w:rPr>
          <w:rFonts w:hint="eastAsia" w:ascii="宋体" w:hAnsi="宋体" w:eastAsia="宋体" w:cs="宋体"/>
          <w:b w:val="0"/>
          <w:bCs w:val="0"/>
          <w:color w:val="auto"/>
          <w:sz w:val="28"/>
          <w:szCs w:val="28"/>
          <w:highlight w:val="none"/>
          <w:lang w:val="en-US" w:eastAsia="zh-CN"/>
        </w:rPr>
        <w:t>5</w:t>
      </w:r>
      <w:r>
        <w:rPr>
          <w:rFonts w:hint="eastAsia" w:ascii="宋体" w:hAnsi="宋体" w:eastAsia="宋体" w:cs="宋体"/>
          <w:b w:val="0"/>
          <w:bCs w:val="0"/>
          <w:color w:val="auto"/>
          <w:sz w:val="28"/>
          <w:szCs w:val="28"/>
          <w:highlight w:val="none"/>
        </w:rPr>
        <w:t>0%</w:t>
      </w:r>
      <w:r>
        <w:rPr>
          <w:rFonts w:hint="eastAsia" w:ascii="宋体" w:hAnsi="宋体" w:eastAsia="宋体" w:cs="宋体"/>
          <w:b w:val="0"/>
          <w:bCs w:val="0"/>
          <w:color w:val="auto"/>
          <w:sz w:val="28"/>
          <w:szCs w:val="28"/>
          <w:highlight w:val="none"/>
          <w:lang w:eastAsia="zh-CN"/>
        </w:rPr>
        <w:t>，</w:t>
      </w:r>
      <w:r>
        <w:rPr>
          <w:rFonts w:hint="eastAsia" w:ascii="宋体" w:hAnsi="宋体" w:eastAsia="宋体" w:cs="宋体"/>
          <w:b w:val="0"/>
          <w:bCs w:val="0"/>
          <w:color w:val="auto"/>
          <w:sz w:val="28"/>
          <w:szCs w:val="28"/>
          <w:highlight w:val="none"/>
          <w:lang w:val="en-US" w:eastAsia="zh-CN"/>
        </w:rPr>
        <w:t>一年</w:t>
      </w:r>
      <w:r>
        <w:rPr>
          <w:rFonts w:hint="eastAsia" w:ascii="宋体" w:hAnsi="宋体" w:eastAsia="宋体" w:cs="宋体"/>
          <w:b w:val="0"/>
          <w:bCs w:val="0"/>
          <w:color w:val="auto"/>
          <w:sz w:val="28"/>
          <w:szCs w:val="28"/>
          <w:highlight w:val="none"/>
        </w:rPr>
        <w:t>支付</w:t>
      </w:r>
      <w:r>
        <w:rPr>
          <w:rFonts w:hint="eastAsia" w:ascii="宋体" w:hAnsi="宋体" w:eastAsia="宋体" w:cs="宋体"/>
          <w:b w:val="0"/>
          <w:bCs w:val="0"/>
          <w:color w:val="auto"/>
          <w:sz w:val="28"/>
          <w:szCs w:val="28"/>
          <w:highlight w:val="none"/>
          <w:lang w:val="en-US" w:eastAsia="zh-CN"/>
        </w:rPr>
        <w:t>至</w:t>
      </w:r>
      <w:r>
        <w:rPr>
          <w:rFonts w:hint="eastAsia" w:ascii="宋体" w:hAnsi="宋体" w:eastAsia="宋体" w:cs="宋体"/>
          <w:b w:val="0"/>
          <w:bCs w:val="0"/>
          <w:color w:val="auto"/>
          <w:sz w:val="28"/>
          <w:szCs w:val="28"/>
          <w:highlight w:val="none"/>
        </w:rPr>
        <w:t>合同金额（年度消防维保服务费用）</w:t>
      </w:r>
      <w:r>
        <w:rPr>
          <w:rFonts w:hint="eastAsia" w:ascii="宋体" w:hAnsi="宋体" w:eastAsia="宋体" w:cs="宋体"/>
          <w:b w:val="0"/>
          <w:bCs w:val="0"/>
          <w:color w:val="auto"/>
          <w:sz w:val="28"/>
          <w:szCs w:val="28"/>
          <w:highlight w:val="none"/>
          <w:lang w:val="en-US" w:eastAsia="zh-CN"/>
        </w:rPr>
        <w:t>100%。</w:t>
      </w:r>
    </w:p>
    <w:p w14:paraId="7F950661">
      <w:pPr>
        <w:keepNext w:val="0"/>
        <w:keepLines w:val="0"/>
        <w:pageBreakBefore w:val="0"/>
        <w:kinsoku/>
        <w:overflowPunct/>
        <w:topLinePunct w:val="0"/>
        <w:bidi w:val="0"/>
        <w:snapToGrid w:val="0"/>
        <w:spacing w:line="460" w:lineRule="exact"/>
        <w:ind w:firstLine="560" w:firstLineChars="200"/>
        <w:textAlignment w:val="auto"/>
        <w:outlineLvl w:val="0"/>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四</w:t>
      </w:r>
      <w:r>
        <w:rPr>
          <w:rFonts w:hint="eastAsia" w:ascii="宋体" w:hAnsi="宋体" w:eastAsia="宋体" w:cs="宋体"/>
          <w:b w:val="0"/>
          <w:bCs w:val="0"/>
          <w:color w:val="auto"/>
          <w:sz w:val="28"/>
          <w:szCs w:val="28"/>
          <w:highlight w:val="none"/>
        </w:rPr>
        <w:t>、其他：</w:t>
      </w:r>
    </w:p>
    <w:p w14:paraId="0F422FA9">
      <w:pPr>
        <w:keepNext w:val="0"/>
        <w:keepLines w:val="0"/>
        <w:pageBreakBefore w:val="0"/>
        <w:kinsoku/>
        <w:overflowPunct/>
        <w:topLinePunct w:val="0"/>
        <w:bidi w:val="0"/>
        <w:snapToGrid w:val="0"/>
        <w:spacing w:line="460" w:lineRule="exact"/>
        <w:ind w:firstLine="560" w:firstLineChars="200"/>
        <w:textAlignment w:val="auto"/>
        <w:outlineLvl w:val="0"/>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1</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中标人</w:t>
      </w:r>
      <w:r>
        <w:rPr>
          <w:rFonts w:hint="eastAsia" w:ascii="宋体" w:hAnsi="宋体" w:eastAsia="宋体" w:cs="宋体"/>
          <w:b w:val="0"/>
          <w:bCs w:val="0"/>
          <w:color w:val="auto"/>
          <w:sz w:val="28"/>
          <w:szCs w:val="28"/>
          <w:highlight w:val="none"/>
        </w:rPr>
        <w:t>需安排有资质人员负责</w:t>
      </w:r>
      <w:r>
        <w:rPr>
          <w:rFonts w:hint="eastAsia" w:ascii="宋体" w:hAnsi="宋体" w:cs="宋体"/>
          <w:b w:val="0"/>
          <w:bCs w:val="0"/>
          <w:color w:val="auto"/>
          <w:sz w:val="28"/>
          <w:szCs w:val="28"/>
          <w:highlight w:val="none"/>
          <w:lang w:val="en-US" w:eastAsia="zh-CN"/>
        </w:rPr>
        <w:t>本项目的维护检测与常规保养</w:t>
      </w:r>
      <w:r>
        <w:rPr>
          <w:rFonts w:hint="eastAsia" w:ascii="宋体" w:hAnsi="宋体" w:eastAsia="宋体" w:cs="宋体"/>
          <w:b w:val="0"/>
          <w:bCs w:val="0"/>
          <w:color w:val="auto"/>
          <w:sz w:val="28"/>
          <w:szCs w:val="28"/>
          <w:highlight w:val="none"/>
        </w:rPr>
        <w:t>，在</w:t>
      </w:r>
      <w:r>
        <w:rPr>
          <w:rFonts w:hint="eastAsia" w:ascii="宋体" w:hAnsi="宋体" w:cs="宋体"/>
          <w:b w:val="0"/>
          <w:bCs w:val="0"/>
          <w:color w:val="auto"/>
          <w:sz w:val="28"/>
          <w:szCs w:val="28"/>
          <w:highlight w:val="none"/>
          <w:lang w:val="en-US" w:eastAsia="zh-CN"/>
        </w:rPr>
        <w:t>此</w:t>
      </w:r>
      <w:r>
        <w:rPr>
          <w:rFonts w:hint="eastAsia" w:ascii="宋体" w:hAnsi="宋体" w:eastAsia="宋体" w:cs="宋体"/>
          <w:b w:val="0"/>
          <w:bCs w:val="0"/>
          <w:color w:val="auto"/>
          <w:sz w:val="28"/>
          <w:szCs w:val="28"/>
          <w:highlight w:val="none"/>
        </w:rPr>
        <w:t>过程中的人身安全等安全责任由</w:t>
      </w:r>
      <w:r>
        <w:rPr>
          <w:rFonts w:hint="eastAsia" w:ascii="宋体" w:hAnsi="宋体" w:cs="宋体"/>
          <w:b w:val="0"/>
          <w:bCs w:val="0"/>
          <w:color w:val="auto"/>
          <w:sz w:val="28"/>
          <w:szCs w:val="28"/>
          <w:highlight w:val="none"/>
          <w:lang w:val="en-US" w:eastAsia="zh-CN"/>
        </w:rPr>
        <w:t>中标人</w:t>
      </w:r>
      <w:r>
        <w:rPr>
          <w:rFonts w:hint="eastAsia" w:ascii="宋体" w:hAnsi="宋体" w:eastAsia="宋体" w:cs="宋体"/>
          <w:b w:val="0"/>
          <w:bCs w:val="0"/>
          <w:color w:val="auto"/>
          <w:sz w:val="28"/>
          <w:szCs w:val="28"/>
          <w:highlight w:val="none"/>
        </w:rPr>
        <w:t>负责，</w:t>
      </w:r>
      <w:r>
        <w:rPr>
          <w:rFonts w:hint="eastAsia" w:ascii="宋体" w:hAnsi="宋体" w:cs="宋体"/>
          <w:b w:val="0"/>
          <w:bCs w:val="0"/>
          <w:color w:val="auto"/>
          <w:sz w:val="28"/>
          <w:szCs w:val="28"/>
          <w:highlight w:val="none"/>
          <w:lang w:eastAsia="zh-CN"/>
        </w:rPr>
        <w:t>招标人</w:t>
      </w:r>
      <w:r>
        <w:rPr>
          <w:rFonts w:hint="eastAsia" w:ascii="宋体" w:hAnsi="宋体" w:eastAsia="宋体" w:cs="宋体"/>
          <w:b w:val="0"/>
          <w:bCs w:val="0"/>
          <w:color w:val="auto"/>
          <w:sz w:val="28"/>
          <w:szCs w:val="28"/>
          <w:highlight w:val="none"/>
        </w:rPr>
        <w:t>不承担任何责任和费用。</w:t>
      </w:r>
    </w:p>
    <w:p w14:paraId="69FCBB91">
      <w:pPr>
        <w:keepNext w:val="0"/>
        <w:keepLines w:val="0"/>
        <w:pageBreakBefore w:val="0"/>
        <w:kinsoku/>
        <w:overflowPunct/>
        <w:topLinePunct w:val="0"/>
        <w:bidi w:val="0"/>
        <w:snapToGrid w:val="0"/>
        <w:spacing w:line="460" w:lineRule="exact"/>
        <w:ind w:firstLine="560" w:firstLineChars="200"/>
        <w:textAlignment w:val="auto"/>
        <w:outlineLvl w:val="0"/>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2</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投标人</w:t>
      </w:r>
      <w:r>
        <w:rPr>
          <w:rFonts w:hint="eastAsia" w:ascii="宋体" w:hAnsi="宋体" w:eastAsia="宋体" w:cs="宋体"/>
          <w:b w:val="0"/>
          <w:bCs w:val="0"/>
          <w:color w:val="auto"/>
          <w:sz w:val="28"/>
          <w:szCs w:val="28"/>
          <w:highlight w:val="none"/>
        </w:rPr>
        <w:t>投标报价前，需到</w:t>
      </w:r>
      <w:r>
        <w:rPr>
          <w:rFonts w:hint="eastAsia" w:ascii="宋体" w:hAnsi="宋体" w:cs="宋体"/>
          <w:b w:val="0"/>
          <w:bCs w:val="0"/>
          <w:color w:val="auto"/>
          <w:sz w:val="28"/>
          <w:szCs w:val="28"/>
          <w:highlight w:val="none"/>
          <w:lang w:eastAsia="zh-CN"/>
        </w:rPr>
        <w:t>招标人</w:t>
      </w:r>
      <w:r>
        <w:rPr>
          <w:rFonts w:hint="eastAsia" w:ascii="宋体" w:hAnsi="宋体" w:eastAsia="宋体" w:cs="宋体"/>
          <w:b w:val="0"/>
          <w:bCs w:val="0"/>
          <w:color w:val="auto"/>
          <w:sz w:val="28"/>
          <w:szCs w:val="28"/>
          <w:highlight w:val="none"/>
        </w:rPr>
        <w:t>踏勘现场，一旦成交，不得对消防设施现状提任何疑议，签订合同后，开始维保。</w:t>
      </w:r>
    </w:p>
    <w:p w14:paraId="407D4EF4">
      <w:pPr>
        <w:keepNext w:val="0"/>
        <w:keepLines w:val="0"/>
        <w:pageBreakBefore w:val="0"/>
        <w:kinsoku/>
        <w:overflowPunct/>
        <w:topLinePunct w:val="0"/>
        <w:bidi w:val="0"/>
        <w:snapToGrid w:val="0"/>
        <w:spacing w:line="460" w:lineRule="exact"/>
        <w:ind w:firstLine="560" w:firstLineChars="200"/>
        <w:textAlignment w:val="auto"/>
        <w:outlineLvl w:val="0"/>
        <w:rPr>
          <w:rFonts w:hint="eastAsia" w:ascii="宋体" w:hAnsi="宋体" w:eastAsia="宋体" w:cs="宋体"/>
          <w:b w:val="0"/>
          <w:bCs w:val="0"/>
          <w:color w:val="auto"/>
          <w:sz w:val="28"/>
          <w:szCs w:val="28"/>
          <w:highlight w:val="none"/>
        </w:rPr>
      </w:pPr>
      <w:r>
        <w:rPr>
          <w:rFonts w:hint="eastAsia" w:ascii="宋体" w:hAnsi="宋体" w:cs="宋体"/>
          <w:b w:val="0"/>
          <w:bCs w:val="0"/>
          <w:color w:val="auto"/>
          <w:sz w:val="28"/>
          <w:szCs w:val="28"/>
          <w:highlight w:val="none"/>
          <w:lang w:val="en-US" w:eastAsia="zh-CN"/>
        </w:rPr>
        <w:t>3</w:t>
      </w:r>
      <w:r>
        <w:rPr>
          <w:rFonts w:hint="eastAsia" w:ascii="宋体" w:hAnsi="宋体" w:eastAsia="宋体" w:cs="宋体"/>
          <w:b w:val="0"/>
          <w:bCs w:val="0"/>
          <w:color w:val="auto"/>
          <w:sz w:val="28"/>
          <w:szCs w:val="28"/>
          <w:highlight w:val="none"/>
          <w:lang w:val="en-US" w:eastAsia="zh-CN"/>
        </w:rPr>
        <w:t>.</w:t>
      </w:r>
      <w:r>
        <w:rPr>
          <w:rFonts w:hint="eastAsia" w:ascii="宋体" w:hAnsi="宋体" w:cs="宋体"/>
          <w:b w:val="0"/>
          <w:bCs w:val="0"/>
          <w:color w:val="auto"/>
          <w:sz w:val="28"/>
          <w:szCs w:val="28"/>
          <w:highlight w:val="none"/>
          <w:lang w:val="en-US" w:eastAsia="zh-CN"/>
        </w:rPr>
        <w:t>中标人</w:t>
      </w:r>
      <w:r>
        <w:rPr>
          <w:rFonts w:hint="eastAsia" w:ascii="宋体" w:hAnsi="宋体" w:eastAsia="宋体" w:cs="宋体"/>
          <w:b w:val="0"/>
          <w:bCs w:val="0"/>
          <w:color w:val="auto"/>
          <w:sz w:val="28"/>
          <w:szCs w:val="28"/>
          <w:highlight w:val="none"/>
        </w:rPr>
        <w:t>要确保各种消防设施正常运转，在各级各类检查中合格，否则</w:t>
      </w:r>
      <w:r>
        <w:rPr>
          <w:rFonts w:hint="eastAsia" w:ascii="宋体" w:hAnsi="宋体" w:cs="宋体"/>
          <w:b w:val="0"/>
          <w:bCs w:val="0"/>
          <w:color w:val="auto"/>
          <w:sz w:val="28"/>
          <w:szCs w:val="28"/>
          <w:highlight w:val="none"/>
          <w:lang w:eastAsia="zh-CN"/>
        </w:rPr>
        <w:t>招标人</w:t>
      </w:r>
      <w:r>
        <w:rPr>
          <w:rFonts w:hint="eastAsia" w:ascii="宋体" w:hAnsi="宋体" w:eastAsia="宋体" w:cs="宋体"/>
          <w:b w:val="0"/>
          <w:bCs w:val="0"/>
          <w:color w:val="auto"/>
          <w:sz w:val="28"/>
          <w:szCs w:val="28"/>
          <w:highlight w:val="none"/>
        </w:rPr>
        <w:t>有权拒绝支付</w:t>
      </w:r>
      <w:r>
        <w:rPr>
          <w:rFonts w:hint="eastAsia" w:ascii="宋体" w:hAnsi="宋体" w:cs="宋体"/>
          <w:b w:val="0"/>
          <w:bCs w:val="0"/>
          <w:color w:val="auto"/>
          <w:sz w:val="28"/>
          <w:szCs w:val="28"/>
          <w:highlight w:val="none"/>
          <w:lang w:val="en-US" w:eastAsia="zh-CN"/>
        </w:rPr>
        <w:t>中标人相关费用</w:t>
      </w:r>
      <w:r>
        <w:rPr>
          <w:rFonts w:hint="eastAsia" w:ascii="宋体" w:hAnsi="宋体" w:eastAsia="宋体" w:cs="宋体"/>
          <w:b w:val="0"/>
          <w:bCs w:val="0"/>
          <w:color w:val="auto"/>
          <w:sz w:val="28"/>
          <w:szCs w:val="28"/>
          <w:highlight w:val="none"/>
        </w:rPr>
        <w:t>。</w:t>
      </w:r>
    </w:p>
    <w:p w14:paraId="217B1285">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rPr>
      </w:pPr>
      <w:r>
        <w:rPr>
          <w:rFonts w:hint="eastAsia" w:ascii="宋体" w:hAnsi="宋体" w:eastAsia="宋体" w:cs="宋体"/>
          <w:b w:val="0"/>
          <w:bCs w:val="0"/>
          <w:color w:val="auto"/>
          <w:sz w:val="28"/>
          <w:szCs w:val="28"/>
          <w:highlight w:val="none"/>
          <w:lang w:val="en-US" w:eastAsia="zh-CN"/>
        </w:rPr>
        <w:t>4.中标人</w:t>
      </w:r>
      <w:r>
        <w:rPr>
          <w:rFonts w:hint="eastAsia" w:ascii="宋体" w:hAnsi="宋体" w:eastAsia="宋体" w:cs="宋体"/>
          <w:b w:val="0"/>
          <w:bCs w:val="0"/>
          <w:color w:val="auto"/>
          <w:sz w:val="28"/>
          <w:szCs w:val="28"/>
          <w:highlight w:val="none"/>
        </w:rPr>
        <w:t>原因未能及时提供维保或配件更换服务的，被校方检查到的，每次每处扣</w:t>
      </w:r>
      <w:r>
        <w:rPr>
          <w:rFonts w:hint="eastAsia" w:ascii="宋体" w:hAnsi="宋体" w:eastAsia="宋体" w:cs="宋体"/>
          <w:b w:val="0"/>
          <w:bCs w:val="0"/>
          <w:color w:val="auto"/>
          <w:sz w:val="28"/>
          <w:szCs w:val="28"/>
          <w:highlight w:val="none"/>
          <w:lang w:val="en-US" w:eastAsia="zh-CN"/>
        </w:rPr>
        <w:t>中标人</w:t>
      </w:r>
      <w:r>
        <w:rPr>
          <w:rFonts w:hint="eastAsia" w:ascii="宋体" w:hAnsi="宋体" w:eastAsia="宋体" w:cs="宋体"/>
          <w:b w:val="0"/>
          <w:bCs w:val="0"/>
          <w:color w:val="auto"/>
          <w:sz w:val="28"/>
          <w:szCs w:val="28"/>
          <w:highlight w:val="none"/>
        </w:rPr>
        <w:t>服务费200元，并责令及时整改；被上级或消防等部门检查到的，每次每处扣</w:t>
      </w:r>
      <w:r>
        <w:rPr>
          <w:rFonts w:hint="eastAsia" w:ascii="宋体" w:hAnsi="宋体" w:eastAsia="宋体" w:cs="宋体"/>
          <w:b w:val="0"/>
          <w:bCs w:val="0"/>
          <w:color w:val="auto"/>
          <w:sz w:val="28"/>
          <w:szCs w:val="28"/>
          <w:highlight w:val="none"/>
          <w:lang w:val="en-US" w:eastAsia="zh-CN"/>
        </w:rPr>
        <w:t>中标人</w:t>
      </w:r>
      <w:r>
        <w:rPr>
          <w:rFonts w:hint="eastAsia" w:ascii="宋体" w:hAnsi="宋体" w:eastAsia="宋体" w:cs="宋体"/>
          <w:b w:val="0"/>
          <w:bCs w:val="0"/>
          <w:color w:val="auto"/>
          <w:sz w:val="28"/>
          <w:szCs w:val="28"/>
          <w:highlight w:val="none"/>
        </w:rPr>
        <w:t>服务费2000元。一年内累计检查通报问题达3次的，</w:t>
      </w:r>
      <w:r>
        <w:rPr>
          <w:rFonts w:hint="eastAsia" w:ascii="宋体" w:hAnsi="宋体" w:eastAsia="宋体" w:cs="宋体"/>
          <w:b w:val="0"/>
          <w:bCs w:val="0"/>
          <w:color w:val="auto"/>
          <w:sz w:val="28"/>
          <w:szCs w:val="28"/>
          <w:highlight w:val="none"/>
          <w:lang w:eastAsia="zh-CN"/>
        </w:rPr>
        <w:t>招标人</w:t>
      </w:r>
      <w:r>
        <w:rPr>
          <w:rFonts w:hint="eastAsia" w:ascii="宋体" w:hAnsi="宋体" w:eastAsia="宋体" w:cs="宋体"/>
          <w:b w:val="0"/>
          <w:bCs w:val="0"/>
          <w:color w:val="auto"/>
          <w:sz w:val="28"/>
          <w:szCs w:val="28"/>
          <w:highlight w:val="none"/>
        </w:rPr>
        <w:t>有权中止服务合同和拒绝支付服务费、扣留履约保证金，对此</w:t>
      </w:r>
      <w:r>
        <w:rPr>
          <w:rFonts w:hint="eastAsia" w:ascii="宋体" w:hAnsi="宋体" w:eastAsia="宋体" w:cs="宋体"/>
          <w:b w:val="0"/>
          <w:bCs w:val="0"/>
          <w:color w:val="auto"/>
          <w:sz w:val="28"/>
          <w:szCs w:val="28"/>
          <w:highlight w:val="none"/>
          <w:lang w:val="en-US" w:eastAsia="zh-CN"/>
        </w:rPr>
        <w:t>投标人</w:t>
      </w:r>
      <w:r>
        <w:rPr>
          <w:rFonts w:hint="eastAsia" w:ascii="宋体" w:hAnsi="宋体" w:eastAsia="宋体" w:cs="宋体"/>
          <w:b w:val="0"/>
          <w:bCs w:val="0"/>
          <w:color w:val="auto"/>
          <w:sz w:val="28"/>
          <w:szCs w:val="28"/>
          <w:highlight w:val="none"/>
        </w:rPr>
        <w:t>必须响应。</w:t>
      </w:r>
    </w:p>
    <w:p w14:paraId="21F4F4EE">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五、履约保证金</w:t>
      </w:r>
    </w:p>
    <w:p w14:paraId="17A27F6D">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2"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1、本项目中标后的履约保证金为项目</w:t>
      </w:r>
      <w:r>
        <w:rPr>
          <w:rFonts w:hint="eastAsia" w:ascii="宋体" w:hAnsi="宋体" w:eastAsia="宋体" w:cs="宋体"/>
          <w:b/>
          <w:bCs/>
          <w:color w:val="auto"/>
          <w:sz w:val="28"/>
          <w:szCs w:val="28"/>
          <w:highlight w:val="none"/>
          <w:lang w:val="en-US" w:eastAsia="zh-CN"/>
        </w:rPr>
        <w:t>年</w:t>
      </w:r>
      <w:r>
        <w:rPr>
          <w:rFonts w:hint="eastAsia" w:ascii="宋体" w:hAnsi="宋体" w:eastAsia="宋体" w:cs="宋体"/>
          <w:b/>
          <w:bCs/>
          <w:color w:val="auto"/>
          <w:sz w:val="28"/>
          <w:szCs w:val="28"/>
          <w:highlight w:val="none"/>
          <w:lang w:val="en-US" w:eastAsia="zh-CN"/>
        </w:rPr>
        <w:t>中标价的10%，</w:t>
      </w:r>
      <w:r>
        <w:rPr>
          <w:rFonts w:hint="eastAsia" w:ascii="宋体" w:hAnsi="宋体" w:eastAsia="宋体" w:cs="宋体"/>
          <w:b w:val="0"/>
          <w:bCs w:val="0"/>
          <w:color w:val="auto"/>
          <w:sz w:val="28"/>
          <w:szCs w:val="28"/>
          <w:highlight w:val="none"/>
          <w:lang w:val="en-US" w:eastAsia="zh-CN"/>
        </w:rPr>
        <w:t>中标人在合同签订之前将履约保证金（以现金或数字人民币、支票、汇票、本票等非现金形式）汇入采购人指定账户，或递交以金融机构、担保机构出具的履约保证金保函（保险），中标人凭成交通知书与招标人签订合同。超期或未有协商，则视为自动放弃成交资格。</w:t>
      </w:r>
    </w:p>
    <w:p w14:paraId="3DCD5FAB">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2、中标人全部履约合同义务，经招标人验收合格无质量、进度等问题的，招标人在合同期满后无息退还履约保证金；</w:t>
      </w:r>
    </w:p>
    <w:p w14:paraId="349D77E3">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3、发生以下情况的，履约保证金不予退还或部分退还：</w:t>
      </w:r>
    </w:p>
    <w:p w14:paraId="609995D8">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（1）签订合同后，中标人不履行合同义务的，招标人有权全额扣除履约保证金，全额不予退还，同时招标人亦有权终止合同，中标人还须承担相应的法律赔偿责任。</w:t>
      </w:r>
    </w:p>
    <w:p w14:paraId="5F313503">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（2）中标人在履约过程中发生违约行为，给招标人造成损失的，招标人有权在中标人缴纳的履约保证金中予以扣款，以弥补招标人经济损失，不足的部分中标人另外补齐。</w:t>
      </w:r>
    </w:p>
    <w:p w14:paraId="438E2378">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4、以履约保函（保险）形式向招标人缴纳的，按照《关于在全省政府采购领域推行电子履约保函（保险）的通知》，登录江苏政府采购网，选择“保险保函”模块，进行相关操作。中标人可登陆江苏政府采购网“资料下载”栏目下载“政府采购电子履约（保函）保险操作手册（网址：www.ccgp-jiangsu.gov.cn/jisngsu/zlxz/)。</w:t>
      </w:r>
    </w:p>
    <w:p w14:paraId="495861B0">
      <w:pPr>
        <w:pStyle w:val="35"/>
        <w:keepNext w:val="0"/>
        <w:keepLines w:val="0"/>
        <w:pageBreakBefore w:val="0"/>
        <w:widowControl w:val="0"/>
        <w:kinsoku/>
        <w:wordWrap/>
        <w:overflowPunct/>
        <w:topLinePunct w:val="0"/>
        <w:autoSpaceDE/>
        <w:autoSpaceDN/>
        <w:bidi w:val="0"/>
        <w:adjustRightInd/>
        <w:snapToGrid/>
        <w:spacing w:line="460" w:lineRule="exact"/>
        <w:ind w:left="0" w:leftChars="0" w:firstLine="560" w:firstLineChars="200"/>
        <w:textAlignment w:val="auto"/>
        <w:rPr>
          <w:rFonts w:hint="default" w:ascii="宋体" w:hAnsi="宋体" w:eastAsia="宋体" w:cs="宋体"/>
          <w:b w:val="0"/>
          <w:bCs w:val="0"/>
          <w:color w:val="auto"/>
          <w:sz w:val="28"/>
          <w:szCs w:val="28"/>
          <w:highlight w:val="none"/>
          <w:lang w:val="en-US" w:eastAsia="zh-CN"/>
        </w:rPr>
      </w:pPr>
      <w:r>
        <w:rPr>
          <w:rFonts w:hint="eastAsia" w:ascii="宋体" w:hAnsi="宋体" w:eastAsia="宋体" w:cs="宋体"/>
          <w:b w:val="0"/>
          <w:bCs w:val="0"/>
          <w:color w:val="auto"/>
          <w:sz w:val="28"/>
          <w:szCs w:val="28"/>
          <w:highlight w:val="none"/>
          <w:lang w:val="en-US" w:eastAsia="zh-CN"/>
        </w:rPr>
        <w:t>六、合同样本</w:t>
      </w:r>
    </w:p>
    <w:p w14:paraId="5FC7F919">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9B1FB7A">
      <w:pPr>
        <w:spacing w:line="360" w:lineRule="auto"/>
        <w:jc w:val="center"/>
        <w:rPr>
          <w:b/>
          <w:bCs/>
          <w:color w:val="auto"/>
          <w:sz w:val="36"/>
          <w:szCs w:val="36"/>
          <w:highlight w:val="none"/>
        </w:rPr>
      </w:pPr>
      <w:r>
        <w:rPr>
          <w:rFonts w:hint="eastAsia" w:cs="宋体"/>
          <w:b/>
          <w:bCs/>
          <w:color w:val="auto"/>
          <w:sz w:val="36"/>
          <w:szCs w:val="36"/>
          <w:highlight w:val="none"/>
        </w:rPr>
        <w:t>建筑消防设施维修保养合同</w:t>
      </w:r>
    </w:p>
    <w:p w14:paraId="08051557">
      <w:pPr>
        <w:jc w:val="center"/>
        <w:rPr>
          <w:rFonts w:eastAsia="楷体_GB2312"/>
          <w:color w:val="auto"/>
          <w:sz w:val="32"/>
          <w:szCs w:val="32"/>
          <w:highlight w:val="none"/>
        </w:rPr>
      </w:pPr>
    </w:p>
    <w:p w14:paraId="44222E60">
      <w:pPr>
        <w:rPr>
          <w:rFonts w:eastAsia="仿宋_GB2312"/>
          <w:color w:val="auto"/>
          <w:sz w:val="32"/>
          <w:szCs w:val="32"/>
          <w:highlight w:val="none"/>
        </w:rPr>
      </w:pPr>
    </w:p>
    <w:p w14:paraId="2878A21C">
      <w:pPr>
        <w:rPr>
          <w:rFonts w:eastAsia="仿宋_GB2312"/>
          <w:color w:val="auto"/>
          <w:sz w:val="32"/>
          <w:szCs w:val="32"/>
          <w:highlight w:val="none"/>
        </w:rPr>
      </w:pPr>
    </w:p>
    <w:p w14:paraId="6FC373C5">
      <w:pPr>
        <w:rPr>
          <w:rFonts w:eastAsia="仿宋_GB2312"/>
          <w:color w:val="auto"/>
          <w:sz w:val="32"/>
          <w:szCs w:val="32"/>
          <w:highlight w:val="none"/>
        </w:rPr>
      </w:pPr>
    </w:p>
    <w:p w14:paraId="77B57D55">
      <w:pPr>
        <w:rPr>
          <w:rFonts w:eastAsia="仿宋_GB2312"/>
          <w:color w:val="auto"/>
          <w:sz w:val="32"/>
          <w:szCs w:val="32"/>
          <w:highlight w:val="none"/>
        </w:rPr>
      </w:pPr>
    </w:p>
    <w:p w14:paraId="6B758D03">
      <w:pPr>
        <w:rPr>
          <w:rFonts w:eastAsia="仿宋_GB2312"/>
          <w:color w:val="auto"/>
          <w:sz w:val="32"/>
          <w:szCs w:val="32"/>
          <w:highlight w:val="none"/>
        </w:rPr>
      </w:pPr>
    </w:p>
    <w:p w14:paraId="64DA7565">
      <w:pPr>
        <w:rPr>
          <w:rFonts w:eastAsia="仿宋_GB2312"/>
          <w:color w:val="auto"/>
          <w:sz w:val="32"/>
          <w:szCs w:val="32"/>
          <w:highlight w:val="none"/>
        </w:rPr>
      </w:pPr>
    </w:p>
    <w:p w14:paraId="0B59B24A">
      <w:pPr>
        <w:rPr>
          <w:rFonts w:eastAsia="仿宋_GB2312"/>
          <w:color w:val="auto"/>
          <w:sz w:val="32"/>
          <w:szCs w:val="32"/>
          <w:highlight w:val="none"/>
        </w:rPr>
      </w:pPr>
    </w:p>
    <w:p w14:paraId="2690E938">
      <w:pPr>
        <w:spacing w:line="360" w:lineRule="auto"/>
        <w:ind w:left="638" w:leftChars="304" w:firstLine="0" w:firstLineChars="0"/>
        <w:rPr>
          <w:rFonts w:ascii="宋体" w:hAnsi="宋体" w:cs="宋体"/>
          <w:color w:val="auto"/>
          <w:w w:val="90"/>
          <w:sz w:val="28"/>
          <w:szCs w:val="28"/>
          <w:highlight w:val="none"/>
          <w:u w:val="single"/>
        </w:rPr>
      </w:pPr>
      <w:r>
        <w:rPr>
          <w:rFonts w:hint="eastAsia" w:ascii="宋体" w:hAnsi="宋体" w:cs="宋体"/>
          <w:color w:val="auto"/>
          <w:sz w:val="32"/>
          <w:szCs w:val="32"/>
          <w:highlight w:val="none"/>
        </w:rPr>
        <w:t>项目名称：</w:t>
      </w:r>
      <w:r>
        <w:rPr>
          <w:rFonts w:hint="eastAsia" w:ascii="宋体" w:hAnsi="宋体" w:cs="宋体"/>
          <w:color w:val="auto"/>
          <w:w w:val="90"/>
          <w:sz w:val="32"/>
          <w:szCs w:val="32"/>
          <w:highlight w:val="none"/>
          <w:u w:val="single"/>
        </w:rPr>
        <w:t>江苏航运职业技术学院消防维保项目</w:t>
      </w:r>
    </w:p>
    <w:p w14:paraId="3BC38664">
      <w:pPr>
        <w:spacing w:line="360" w:lineRule="auto"/>
        <w:ind w:firstLine="640" w:firstLineChars="200"/>
        <w:rPr>
          <w:rFonts w:ascii="宋体" w:hAnsi="宋体"/>
          <w:color w:val="auto"/>
          <w:sz w:val="32"/>
          <w:szCs w:val="32"/>
          <w:highlight w:val="none"/>
          <w:u w:val="single"/>
        </w:rPr>
      </w:pPr>
      <w:r>
        <w:rPr>
          <w:rFonts w:hint="eastAsia" w:ascii="宋体" w:hAnsi="宋体" w:cs="宋体"/>
          <w:color w:val="auto"/>
          <w:sz w:val="32"/>
          <w:szCs w:val="32"/>
          <w:highlight w:val="none"/>
        </w:rPr>
        <w:t>合同编号：</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 xml:space="preserve">     </w:t>
      </w:r>
    </w:p>
    <w:p w14:paraId="78E4CF9E">
      <w:pPr>
        <w:spacing w:line="360" w:lineRule="auto"/>
        <w:ind w:firstLine="640" w:firstLineChars="200"/>
        <w:rPr>
          <w:rFonts w:ascii="宋体" w:hAnsi="宋体"/>
          <w:color w:val="auto"/>
          <w:sz w:val="32"/>
          <w:szCs w:val="32"/>
          <w:highlight w:val="none"/>
          <w:u w:val="single"/>
        </w:rPr>
      </w:pPr>
      <w:r>
        <w:rPr>
          <w:rFonts w:hint="eastAsia" w:ascii="宋体" w:hAnsi="宋体" w:cs="宋体"/>
          <w:color w:val="auto"/>
          <w:sz w:val="32"/>
          <w:szCs w:val="32"/>
          <w:highlight w:val="none"/>
        </w:rPr>
        <w:t>签订地点：</w:t>
      </w:r>
      <w:r>
        <w:rPr>
          <w:rFonts w:hint="eastAsia" w:ascii="宋体" w:hAnsi="宋体"/>
          <w:color w:val="auto"/>
          <w:sz w:val="32"/>
          <w:szCs w:val="32"/>
          <w:highlight w:val="none"/>
          <w:u w:val="single"/>
        </w:rPr>
        <w:t xml:space="preserve">南通经济技术开发区通盛大道185号          </w:t>
      </w:r>
    </w:p>
    <w:p w14:paraId="776B4C4B">
      <w:pPr>
        <w:spacing w:line="360" w:lineRule="auto"/>
        <w:ind w:firstLine="640" w:firstLineChars="200"/>
        <w:rPr>
          <w:rFonts w:ascii="宋体" w:hAnsi="宋体"/>
          <w:color w:val="auto"/>
          <w:sz w:val="32"/>
          <w:szCs w:val="32"/>
          <w:highlight w:val="none"/>
        </w:rPr>
      </w:pPr>
      <w:r>
        <w:rPr>
          <w:rFonts w:hint="eastAsia" w:ascii="宋体" w:hAnsi="宋体" w:cs="宋体"/>
          <w:color w:val="auto"/>
          <w:sz w:val="32"/>
          <w:szCs w:val="32"/>
          <w:highlight w:val="none"/>
        </w:rPr>
        <w:t>签订时间：</w:t>
      </w:r>
      <w:r>
        <w:rPr>
          <w:rFonts w:ascii="宋体" w:hAnsi="宋体"/>
          <w:color w:val="auto"/>
          <w:sz w:val="32"/>
          <w:szCs w:val="32"/>
          <w:highlight w:val="none"/>
          <w:u w:val="single"/>
        </w:rPr>
        <w:t xml:space="preserve">  </w:t>
      </w:r>
      <w:r>
        <w:rPr>
          <w:rFonts w:hint="eastAsia" w:ascii="宋体" w:hAnsi="宋体"/>
          <w:color w:val="auto"/>
          <w:sz w:val="32"/>
          <w:szCs w:val="32"/>
          <w:highlight w:val="none"/>
          <w:u w:val="single"/>
        </w:rPr>
        <w:t>202</w:t>
      </w:r>
      <w:r>
        <w:rPr>
          <w:rFonts w:hint="eastAsia" w:ascii="宋体" w:hAnsi="宋体"/>
          <w:color w:val="auto"/>
          <w:sz w:val="32"/>
          <w:szCs w:val="32"/>
          <w:highlight w:val="none"/>
          <w:u w:val="single"/>
          <w:lang w:val="en-US" w:eastAsia="zh-CN"/>
        </w:rPr>
        <w:t>4</w:t>
      </w:r>
      <w:r>
        <w:rPr>
          <w:rFonts w:hint="eastAsia" w:ascii="宋体" w:hAnsi="宋体"/>
          <w:color w:val="auto"/>
          <w:sz w:val="32"/>
          <w:szCs w:val="32"/>
          <w:highlight w:val="none"/>
          <w:u w:val="single"/>
        </w:rPr>
        <w:t xml:space="preserve">年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 月 </w:t>
      </w:r>
      <w:r>
        <w:rPr>
          <w:rFonts w:hint="eastAsia" w:ascii="宋体" w:hAnsi="宋体"/>
          <w:color w:val="auto"/>
          <w:sz w:val="32"/>
          <w:szCs w:val="32"/>
          <w:highlight w:val="none"/>
          <w:u w:val="single"/>
          <w:lang w:val="en-US" w:eastAsia="zh-CN"/>
        </w:rPr>
        <w:t xml:space="preserve">  </w:t>
      </w:r>
      <w:r>
        <w:rPr>
          <w:rFonts w:hint="eastAsia" w:ascii="宋体" w:hAnsi="宋体"/>
          <w:color w:val="auto"/>
          <w:sz w:val="32"/>
          <w:szCs w:val="32"/>
          <w:highlight w:val="none"/>
          <w:u w:val="single"/>
        </w:rPr>
        <w:t xml:space="preserve">日    </w:t>
      </w:r>
    </w:p>
    <w:p w14:paraId="1BA727AA">
      <w:pPr>
        <w:rPr>
          <w:rFonts w:ascii="宋体" w:hAnsi="宋体"/>
          <w:color w:val="auto"/>
          <w:sz w:val="32"/>
          <w:szCs w:val="32"/>
          <w:highlight w:val="none"/>
        </w:rPr>
      </w:pPr>
    </w:p>
    <w:p w14:paraId="6C56A8C4">
      <w:pPr>
        <w:rPr>
          <w:rFonts w:ascii="宋体" w:hAnsi="宋体"/>
          <w:color w:val="auto"/>
          <w:sz w:val="32"/>
          <w:szCs w:val="32"/>
          <w:highlight w:val="none"/>
        </w:rPr>
      </w:pPr>
    </w:p>
    <w:p w14:paraId="43923047">
      <w:pPr>
        <w:rPr>
          <w:rFonts w:ascii="宋体" w:hAnsi="宋体"/>
          <w:color w:val="auto"/>
          <w:sz w:val="32"/>
          <w:szCs w:val="32"/>
          <w:highlight w:val="none"/>
        </w:rPr>
      </w:pPr>
    </w:p>
    <w:p w14:paraId="086E8DD9">
      <w:pPr>
        <w:rPr>
          <w:rFonts w:ascii="宋体" w:hAnsi="宋体"/>
          <w:color w:val="auto"/>
          <w:sz w:val="32"/>
          <w:szCs w:val="32"/>
          <w:highlight w:val="none"/>
        </w:rPr>
      </w:pPr>
    </w:p>
    <w:p w14:paraId="30D67250">
      <w:pPr>
        <w:pStyle w:val="35"/>
        <w:rPr>
          <w:rFonts w:ascii="宋体" w:hAnsi="宋体"/>
          <w:color w:val="auto"/>
          <w:sz w:val="32"/>
          <w:szCs w:val="32"/>
          <w:highlight w:val="none"/>
        </w:rPr>
      </w:pPr>
    </w:p>
    <w:p w14:paraId="2386E196">
      <w:pPr>
        <w:spacing w:line="440" w:lineRule="exact"/>
        <w:rPr>
          <w:rFonts w:ascii="宋体" w:hAnsi="宋体"/>
          <w:color w:val="auto"/>
          <w:sz w:val="32"/>
          <w:szCs w:val="32"/>
          <w:highlight w:val="none"/>
        </w:rPr>
      </w:pPr>
    </w:p>
    <w:p w14:paraId="48365EF0">
      <w:pPr>
        <w:spacing w:line="660" w:lineRule="exact"/>
        <w:rPr>
          <w:rFonts w:ascii="宋体" w:hAnsi="宋体"/>
          <w:color w:val="auto"/>
          <w:spacing w:val="20"/>
          <w:highlight w:val="none"/>
        </w:rPr>
      </w:pPr>
      <w:r>
        <w:rPr>
          <w:rFonts w:ascii="宋体" w:hAnsi="宋体" w:cs="仿宋_GB2312"/>
          <w:color w:val="auto"/>
          <w:spacing w:val="20"/>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3867150</wp:posOffset>
                </wp:positionH>
                <wp:positionV relativeFrom="paragraph">
                  <wp:posOffset>195580</wp:posOffset>
                </wp:positionV>
                <wp:extent cx="933450" cy="495300"/>
                <wp:effectExtent l="0" t="0" r="11430" b="7620"/>
                <wp:wrapNone/>
                <wp:docPr id="2" name="矩形 2"/>
                <wp:cNvGraphicFramePr/>
                <a:graphic xmlns:a="http://schemas.openxmlformats.org/drawingml/2006/main">
                  <a:graphicData uri="http://schemas.microsoft.com/office/word/2010/wordprocessingShape">
                    <wps:wsp>
                      <wps:cNvSpPr/>
                      <wps:spPr>
                        <a:xfrm>
                          <a:off x="0" y="0"/>
                          <a:ext cx="933450" cy="495300"/>
                        </a:xfrm>
                        <a:prstGeom prst="rect">
                          <a:avLst/>
                        </a:prstGeom>
                        <a:solidFill>
                          <a:srgbClr val="FFFFFF"/>
                        </a:solidFill>
                        <a:ln>
                          <a:noFill/>
                        </a:ln>
                        <a:effectLst/>
                      </wps:spPr>
                      <wps:txbx>
                        <w:txbxContent>
                          <w:p w14:paraId="5A926117">
                            <w:pPr>
                              <w:rPr>
                                <w:sz w:val="32"/>
                                <w:szCs w:val="32"/>
                              </w:rPr>
                            </w:pPr>
                            <w:r>
                              <w:rPr>
                                <w:rFonts w:hint="eastAsia"/>
                                <w:sz w:val="32"/>
                                <w:szCs w:val="32"/>
                              </w:rPr>
                              <w:t>制定</w:t>
                            </w:r>
                          </w:p>
                        </w:txbxContent>
                      </wps:txbx>
                      <wps:bodyPr upright="1"/>
                    </wps:wsp>
                  </a:graphicData>
                </a:graphic>
              </wp:anchor>
            </w:drawing>
          </mc:Choice>
          <mc:Fallback>
            <w:pict>
              <v:rect id="_x0000_s1026" o:spid="_x0000_s1026" o:spt="1" style="position:absolute;left:0pt;margin-left:304.5pt;margin-top:15.4pt;height:39pt;width:73.5pt;z-index:251659264;mso-width-relative:page;mso-height-relative:page;" fillcolor="#FFFFFF" filled="t" stroked="f" coordsize="21600,21600" o:gfxdata="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ZDH/N1wAAAAoBAAAPAAAAAAAAAAEAIAAAACIAAABkcnMvZG93bnJldi54bWxQSwEC&#10;FAAUAAAACACHTuJAmz+rUbwBAAB3AwAADgAAAAAAAAABACAAAAAmAQAAZHJzL2Uyb0RvYy54bWxQ&#10;SwUGAAAAAAYABgBZAQAAVAUAAAAA&#10;">
                <v:fill on="t" focussize="0,0"/>
                <v:stroke on="f"/>
                <v:imagedata o:title=""/>
                <o:lock v:ext="edit" aspectratio="f"/>
                <v:textbox>
                  <w:txbxContent>
                    <w:p w14:paraId="5A926117">
                      <w:pPr>
                        <w:rPr>
                          <w:sz w:val="32"/>
                          <w:szCs w:val="32"/>
                        </w:rPr>
                      </w:pPr>
                      <w:r>
                        <w:rPr>
                          <w:rFonts w:hint="eastAsia"/>
                          <w:sz w:val="32"/>
                          <w:szCs w:val="32"/>
                        </w:rPr>
                        <w:t>制定</w:t>
                      </w:r>
                    </w:p>
                  </w:txbxContent>
                </v:textbox>
              </v:rect>
            </w:pict>
          </mc:Fallback>
        </mc:AlternateContent>
      </w:r>
      <w:r>
        <w:rPr>
          <w:rFonts w:hint="eastAsia" w:ascii="宋体" w:hAnsi="宋体" w:cs="仿宋_GB2312"/>
          <w:color w:val="auto"/>
          <w:spacing w:val="20"/>
          <w:sz w:val="32"/>
          <w:szCs w:val="32"/>
          <w:highlight w:val="none"/>
        </w:rPr>
        <w:t xml:space="preserve">             江苏省公安厅消防局</w:t>
      </w:r>
    </w:p>
    <w:p w14:paraId="493C8ABD">
      <w:pPr>
        <w:spacing w:line="660" w:lineRule="exact"/>
        <w:ind w:firstLine="2560" w:firstLineChars="800"/>
        <w:rPr>
          <w:rFonts w:ascii="宋体" w:hAnsi="宋体"/>
          <w:color w:val="auto"/>
          <w:sz w:val="32"/>
          <w:szCs w:val="32"/>
          <w:highlight w:val="none"/>
        </w:rPr>
      </w:pPr>
      <w:r>
        <w:rPr>
          <w:rFonts w:hint="eastAsia" w:ascii="宋体" w:hAnsi="宋体" w:cs="仿宋_GB2312"/>
          <w:color w:val="auto"/>
          <w:sz w:val="32"/>
          <w:szCs w:val="32"/>
          <w:highlight w:val="none"/>
        </w:rPr>
        <w:t>江苏省工商行政管理局</w:t>
      </w:r>
    </w:p>
    <w:p w14:paraId="03C33B3D">
      <w:pPr>
        <w:rPr>
          <w:rFonts w:hint="eastAsia" w:ascii="宋体" w:hAnsi="宋体"/>
          <w:color w:val="auto"/>
          <w:sz w:val="24"/>
          <w:highlight w:val="none"/>
        </w:rPr>
      </w:pPr>
      <w:r>
        <w:rPr>
          <w:rFonts w:hint="eastAsia" w:ascii="宋体" w:hAnsi="宋体"/>
          <w:color w:val="auto"/>
          <w:sz w:val="24"/>
          <w:highlight w:val="none"/>
        </w:rPr>
        <w:br w:type="page"/>
      </w:r>
    </w:p>
    <w:p w14:paraId="1E80668A">
      <w:pPr>
        <w:spacing w:line="360" w:lineRule="auto"/>
        <w:rPr>
          <w:rFonts w:ascii="宋体" w:hAnsi="宋体"/>
          <w:color w:val="auto"/>
          <w:sz w:val="24"/>
          <w:highlight w:val="none"/>
          <w:u w:val="single"/>
        </w:rPr>
      </w:pPr>
      <w:r>
        <w:rPr>
          <w:rFonts w:hint="eastAsia" w:ascii="宋体" w:hAnsi="宋体"/>
          <w:color w:val="auto"/>
          <w:sz w:val="24"/>
          <w:highlight w:val="none"/>
        </w:rPr>
        <w:t>甲方：</w:t>
      </w:r>
      <w:r>
        <w:rPr>
          <w:rFonts w:hint="eastAsia" w:ascii="宋体" w:hAnsi="宋体"/>
          <w:color w:val="auto"/>
          <w:sz w:val="24"/>
          <w:highlight w:val="none"/>
          <w:u w:val="single"/>
        </w:rPr>
        <w:t xml:space="preserve"> 江苏航运职业技术学院 </w:t>
      </w:r>
    </w:p>
    <w:p w14:paraId="3507C68B">
      <w:pPr>
        <w:spacing w:line="360" w:lineRule="auto"/>
        <w:rPr>
          <w:rFonts w:ascii="宋体" w:hAnsi="宋体"/>
          <w:color w:val="auto"/>
          <w:spacing w:val="50"/>
          <w:sz w:val="24"/>
          <w:highlight w:val="none"/>
        </w:rPr>
      </w:pPr>
      <w:r>
        <w:rPr>
          <w:rFonts w:hint="eastAsia" w:ascii="宋体" w:hAnsi="宋体"/>
          <w:color w:val="auto"/>
          <w:sz w:val="24"/>
          <w:highlight w:val="none"/>
        </w:rPr>
        <w:t>乙方</w:t>
      </w:r>
      <w:r>
        <w:rPr>
          <w:rFonts w:hint="eastAsia" w:ascii="宋体" w:hAnsi="宋体"/>
          <w:color w:val="auto"/>
          <w:spacing w:val="50"/>
          <w:sz w:val="24"/>
          <w:highlight w:val="none"/>
        </w:rPr>
        <w:t>:</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p>
    <w:p w14:paraId="27135E6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甲乙双方根据《中华人民共和国</w:t>
      </w:r>
      <w:r>
        <w:rPr>
          <w:rFonts w:hint="eastAsia" w:ascii="宋体" w:hAnsi="宋体"/>
          <w:color w:val="auto"/>
          <w:sz w:val="24"/>
          <w:highlight w:val="none"/>
        </w:rPr>
        <w:t>民法典</w:t>
      </w:r>
      <w:r>
        <w:rPr>
          <w:rFonts w:hint="eastAsia" w:ascii="宋体" w:hAnsi="宋体"/>
          <w:color w:val="auto"/>
          <w:sz w:val="24"/>
          <w:highlight w:val="none"/>
        </w:rPr>
        <w:t>》、《中华人民共和国消防法》和《江苏省消防条例》等规定，结合具体情况，经协商达成如下合同内容，共同遵守：</w:t>
      </w:r>
    </w:p>
    <w:p w14:paraId="7DAC648C">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一、维修保养建筑名称：</w:t>
      </w:r>
      <w:r>
        <w:rPr>
          <w:rFonts w:hint="eastAsia" w:ascii="宋体" w:hAnsi="宋体"/>
          <w:color w:val="auto"/>
          <w:sz w:val="24"/>
          <w:highlight w:val="none"/>
          <w:u w:val="single"/>
        </w:rPr>
        <w:t>江苏航运职业技术学院消防维保项目</w:t>
      </w:r>
    </w:p>
    <w:p w14:paraId="278A1E5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二、维修保养范围：</w:t>
      </w:r>
    </w:p>
    <w:p w14:paraId="619DA21D">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lang w:val="en-US" w:eastAsia="zh-CN"/>
        </w:rPr>
        <w:t>维保</w:t>
      </w:r>
      <w:r>
        <w:rPr>
          <w:rFonts w:hint="eastAsia" w:ascii="宋体" w:hAnsi="宋体"/>
          <w:color w:val="auto"/>
          <w:sz w:val="24"/>
          <w:highlight w:val="none"/>
        </w:rPr>
        <w:t>内容及</w:t>
      </w:r>
      <w:r>
        <w:rPr>
          <w:rFonts w:hint="eastAsia" w:ascii="宋体" w:hAnsi="宋体"/>
          <w:color w:val="auto"/>
          <w:sz w:val="24"/>
          <w:highlight w:val="none"/>
          <w:lang w:val="en-US" w:eastAsia="zh-CN"/>
        </w:rPr>
        <w:t>工作</w:t>
      </w:r>
      <w:r>
        <w:rPr>
          <w:rFonts w:hint="eastAsia" w:ascii="宋体" w:hAnsi="宋体"/>
          <w:color w:val="auto"/>
          <w:sz w:val="24"/>
          <w:highlight w:val="none"/>
        </w:rPr>
        <w:t>量：</w:t>
      </w:r>
    </w:p>
    <w:p w14:paraId="15DC365B">
      <w:pPr>
        <w:spacing w:line="360" w:lineRule="auto"/>
        <w:jc w:val="center"/>
        <w:rPr>
          <w:rFonts w:hint="eastAsia" w:ascii="宋体" w:hAnsi="宋体"/>
          <w:color w:val="auto"/>
          <w:sz w:val="24"/>
          <w:highlight w:val="none"/>
        </w:rPr>
      </w:pPr>
      <w:r>
        <w:rPr>
          <w:rFonts w:hint="eastAsia" w:ascii="宋体" w:hAnsi="宋体"/>
          <w:color w:val="auto"/>
          <w:sz w:val="24"/>
          <w:highlight w:val="none"/>
        </w:rPr>
        <w:t>消防设施设备统计表</w:t>
      </w:r>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4"/>
        <w:gridCol w:w="2552"/>
        <w:gridCol w:w="1341"/>
        <w:gridCol w:w="3858"/>
      </w:tblGrid>
      <w:tr w14:paraId="69972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454" w:type="pct"/>
          </w:tcPr>
          <w:p w14:paraId="5E1F152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序号</w:t>
            </w:r>
          </w:p>
        </w:tc>
        <w:tc>
          <w:tcPr>
            <w:tcW w:w="1496" w:type="pct"/>
          </w:tcPr>
          <w:p w14:paraId="7DCBAE3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名称</w:t>
            </w:r>
          </w:p>
        </w:tc>
        <w:tc>
          <w:tcPr>
            <w:tcW w:w="786" w:type="pct"/>
          </w:tcPr>
          <w:p w14:paraId="13FB2F0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数量</w:t>
            </w:r>
          </w:p>
        </w:tc>
        <w:tc>
          <w:tcPr>
            <w:tcW w:w="2262" w:type="pct"/>
          </w:tcPr>
          <w:p w14:paraId="121E2FC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设备地点</w:t>
            </w:r>
          </w:p>
        </w:tc>
      </w:tr>
      <w:tr w14:paraId="33891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1F35239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w:t>
            </w:r>
          </w:p>
        </w:tc>
        <w:tc>
          <w:tcPr>
            <w:tcW w:w="1496" w:type="pct"/>
            <w:vAlign w:val="center"/>
          </w:tcPr>
          <w:p w14:paraId="377EC9A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火灾报警控制器</w:t>
            </w:r>
          </w:p>
        </w:tc>
        <w:tc>
          <w:tcPr>
            <w:tcW w:w="786" w:type="pct"/>
            <w:vAlign w:val="center"/>
          </w:tcPr>
          <w:p w14:paraId="035D174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20</w:t>
            </w:r>
            <w:r>
              <w:rPr>
                <w:rFonts w:hint="eastAsia" w:asciiTheme="minorEastAsia" w:hAnsiTheme="minorEastAsia" w:eastAsiaTheme="minorEastAsia" w:cstheme="minorEastAsia"/>
                <w:b w:val="0"/>
                <w:bCs w:val="0"/>
                <w:color w:val="auto"/>
                <w:kern w:val="0"/>
                <w:sz w:val="22"/>
                <w:szCs w:val="22"/>
                <w:highlight w:val="none"/>
              </w:rPr>
              <w:t>台</w:t>
            </w:r>
          </w:p>
        </w:tc>
        <w:tc>
          <w:tcPr>
            <w:tcW w:w="2262" w:type="pct"/>
            <w:vAlign w:val="center"/>
          </w:tcPr>
          <w:p w14:paraId="7B8C151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消防控制中心</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6台</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、体育馆</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1台</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、思源堂</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1台</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、学生公寓楼</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11台</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崇川楼（1台）</w:t>
            </w:r>
          </w:p>
        </w:tc>
      </w:tr>
      <w:tr w14:paraId="2D501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6ADFE91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w:t>
            </w:r>
          </w:p>
        </w:tc>
        <w:tc>
          <w:tcPr>
            <w:tcW w:w="1496" w:type="pct"/>
            <w:vAlign w:val="center"/>
          </w:tcPr>
          <w:p w14:paraId="5624F5E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气体灭火控制器</w:t>
            </w:r>
          </w:p>
        </w:tc>
        <w:tc>
          <w:tcPr>
            <w:tcW w:w="786" w:type="pct"/>
            <w:vAlign w:val="center"/>
          </w:tcPr>
          <w:p w14:paraId="720696C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2</w:t>
            </w:r>
            <w:r>
              <w:rPr>
                <w:rFonts w:hint="eastAsia" w:asciiTheme="minorEastAsia" w:hAnsiTheme="minorEastAsia" w:eastAsiaTheme="minorEastAsia" w:cstheme="minorEastAsia"/>
                <w:b w:val="0"/>
                <w:bCs w:val="0"/>
                <w:color w:val="auto"/>
                <w:kern w:val="0"/>
                <w:sz w:val="22"/>
                <w:szCs w:val="22"/>
                <w:highlight w:val="none"/>
                <w:lang w:val="en-US" w:eastAsia="zh-CN"/>
              </w:rPr>
              <w:t>组</w:t>
            </w:r>
          </w:p>
        </w:tc>
        <w:tc>
          <w:tcPr>
            <w:tcW w:w="2262" w:type="pct"/>
            <w:vAlign w:val="center"/>
          </w:tcPr>
          <w:p w14:paraId="0CDA1FF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图文信息中心</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5楼、地下室</w:t>
            </w:r>
            <w:r>
              <w:rPr>
                <w:rFonts w:hint="eastAsia" w:asciiTheme="minorEastAsia" w:hAnsiTheme="minorEastAsia" w:eastAsiaTheme="minorEastAsia" w:cstheme="minorEastAsia"/>
                <w:b w:val="0"/>
                <w:bCs w:val="0"/>
                <w:color w:val="auto"/>
                <w:kern w:val="0"/>
                <w:sz w:val="22"/>
                <w:szCs w:val="22"/>
                <w:highlight w:val="none"/>
                <w:lang w:eastAsia="zh-CN"/>
              </w:rPr>
              <w:t>）</w:t>
            </w:r>
          </w:p>
        </w:tc>
      </w:tr>
      <w:tr w14:paraId="19AE4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5E2CC243">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3</w:t>
            </w:r>
          </w:p>
        </w:tc>
        <w:tc>
          <w:tcPr>
            <w:tcW w:w="1496" w:type="pct"/>
            <w:vAlign w:val="center"/>
          </w:tcPr>
          <w:p w14:paraId="7629270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电气火灾监控器</w:t>
            </w:r>
          </w:p>
        </w:tc>
        <w:tc>
          <w:tcPr>
            <w:tcW w:w="786" w:type="pct"/>
            <w:vAlign w:val="center"/>
          </w:tcPr>
          <w:p w14:paraId="680079A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1台</w:t>
            </w:r>
          </w:p>
        </w:tc>
        <w:tc>
          <w:tcPr>
            <w:tcW w:w="2262" w:type="pct"/>
            <w:vAlign w:val="center"/>
          </w:tcPr>
          <w:p w14:paraId="78C3622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消防控制中心</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崇业</w:t>
            </w:r>
            <w:r>
              <w:rPr>
                <w:rFonts w:hint="eastAsia" w:asciiTheme="minorEastAsia" w:hAnsiTheme="minorEastAsia" w:eastAsiaTheme="minorEastAsia" w:cstheme="minorEastAsia"/>
                <w:b w:val="0"/>
                <w:bCs w:val="0"/>
                <w:color w:val="auto"/>
                <w:kern w:val="0"/>
                <w:sz w:val="22"/>
                <w:szCs w:val="22"/>
                <w:highlight w:val="none"/>
              </w:rPr>
              <w:t>楼</w:t>
            </w:r>
            <w:r>
              <w:rPr>
                <w:rFonts w:hint="eastAsia" w:asciiTheme="minorEastAsia" w:hAnsiTheme="minorEastAsia" w:eastAsiaTheme="minorEastAsia" w:cstheme="minorEastAsia"/>
                <w:b w:val="0"/>
                <w:bCs w:val="0"/>
                <w:color w:val="auto"/>
                <w:kern w:val="0"/>
                <w:sz w:val="22"/>
                <w:szCs w:val="22"/>
                <w:highlight w:val="none"/>
                <w:lang w:eastAsia="zh-CN"/>
              </w:rPr>
              <w:t>）</w:t>
            </w:r>
          </w:p>
        </w:tc>
      </w:tr>
      <w:tr w14:paraId="6D83E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2D343F8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4</w:t>
            </w:r>
          </w:p>
        </w:tc>
        <w:tc>
          <w:tcPr>
            <w:tcW w:w="1496" w:type="pct"/>
            <w:vAlign w:val="center"/>
          </w:tcPr>
          <w:p w14:paraId="4C6C45C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防火门监控器</w:t>
            </w:r>
          </w:p>
        </w:tc>
        <w:tc>
          <w:tcPr>
            <w:tcW w:w="786" w:type="pct"/>
            <w:vAlign w:val="center"/>
          </w:tcPr>
          <w:p w14:paraId="74F0B03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1台</w:t>
            </w:r>
          </w:p>
        </w:tc>
        <w:tc>
          <w:tcPr>
            <w:tcW w:w="2262" w:type="pct"/>
            <w:vAlign w:val="center"/>
          </w:tcPr>
          <w:p w14:paraId="5E1F6539">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消防控制中心</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崇业</w:t>
            </w:r>
            <w:r>
              <w:rPr>
                <w:rFonts w:hint="eastAsia" w:asciiTheme="minorEastAsia" w:hAnsiTheme="minorEastAsia" w:eastAsiaTheme="minorEastAsia" w:cstheme="minorEastAsia"/>
                <w:b w:val="0"/>
                <w:bCs w:val="0"/>
                <w:color w:val="auto"/>
                <w:kern w:val="0"/>
                <w:sz w:val="22"/>
                <w:szCs w:val="22"/>
                <w:highlight w:val="none"/>
              </w:rPr>
              <w:t>楼</w:t>
            </w:r>
            <w:r>
              <w:rPr>
                <w:rFonts w:hint="eastAsia" w:asciiTheme="minorEastAsia" w:hAnsiTheme="minorEastAsia" w:eastAsiaTheme="minorEastAsia" w:cstheme="minorEastAsia"/>
                <w:b w:val="0"/>
                <w:bCs w:val="0"/>
                <w:color w:val="auto"/>
                <w:kern w:val="0"/>
                <w:sz w:val="22"/>
                <w:szCs w:val="22"/>
                <w:highlight w:val="none"/>
                <w:lang w:eastAsia="zh-CN"/>
              </w:rPr>
              <w:t>）</w:t>
            </w:r>
          </w:p>
        </w:tc>
      </w:tr>
      <w:tr w14:paraId="42B29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65928D5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5</w:t>
            </w:r>
          </w:p>
        </w:tc>
        <w:tc>
          <w:tcPr>
            <w:tcW w:w="1496" w:type="pct"/>
            <w:vAlign w:val="center"/>
          </w:tcPr>
          <w:p w14:paraId="5A9CD97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消防水炮控制台</w:t>
            </w:r>
          </w:p>
        </w:tc>
        <w:tc>
          <w:tcPr>
            <w:tcW w:w="786" w:type="pct"/>
            <w:vAlign w:val="center"/>
          </w:tcPr>
          <w:p w14:paraId="1C5A1A83">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套</w:t>
            </w:r>
          </w:p>
        </w:tc>
        <w:tc>
          <w:tcPr>
            <w:tcW w:w="2262" w:type="pct"/>
            <w:vAlign w:val="center"/>
          </w:tcPr>
          <w:p w14:paraId="3E22632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体育馆</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1套</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、礼堂</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1套</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图文信息中心（2套）</w:t>
            </w:r>
          </w:p>
        </w:tc>
      </w:tr>
      <w:tr w14:paraId="1FA8D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1BEF084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6</w:t>
            </w:r>
          </w:p>
        </w:tc>
        <w:tc>
          <w:tcPr>
            <w:tcW w:w="1496" w:type="pct"/>
            <w:vAlign w:val="center"/>
          </w:tcPr>
          <w:p w14:paraId="01D19C6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感烟探测器</w:t>
            </w:r>
          </w:p>
        </w:tc>
        <w:tc>
          <w:tcPr>
            <w:tcW w:w="786" w:type="pct"/>
            <w:vAlign w:val="center"/>
          </w:tcPr>
          <w:p w14:paraId="32EE6FB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w:t>
            </w:r>
            <w:r>
              <w:rPr>
                <w:rFonts w:hint="eastAsia" w:asciiTheme="minorEastAsia" w:hAnsiTheme="minorEastAsia" w:eastAsiaTheme="minorEastAsia" w:cstheme="minorEastAsia"/>
                <w:b w:val="0"/>
                <w:bCs w:val="0"/>
                <w:color w:val="auto"/>
                <w:kern w:val="0"/>
                <w:sz w:val="22"/>
                <w:szCs w:val="22"/>
                <w:highlight w:val="none"/>
              </w:rPr>
              <w:t>4862套</w:t>
            </w:r>
          </w:p>
        </w:tc>
        <w:tc>
          <w:tcPr>
            <w:tcW w:w="2262" w:type="pct"/>
            <w:vAlign w:val="center"/>
          </w:tcPr>
          <w:p w14:paraId="1ED093D6">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225A1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454" w:type="pct"/>
            <w:vAlign w:val="center"/>
          </w:tcPr>
          <w:p w14:paraId="356A6E4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7</w:t>
            </w:r>
          </w:p>
        </w:tc>
        <w:tc>
          <w:tcPr>
            <w:tcW w:w="1496" w:type="pct"/>
            <w:vAlign w:val="center"/>
          </w:tcPr>
          <w:p w14:paraId="5EB41CE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感温探测器</w:t>
            </w:r>
          </w:p>
        </w:tc>
        <w:tc>
          <w:tcPr>
            <w:tcW w:w="786" w:type="pct"/>
            <w:vAlign w:val="center"/>
          </w:tcPr>
          <w:p w14:paraId="3EAF777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w:t>
            </w:r>
            <w:r>
              <w:rPr>
                <w:rFonts w:hint="eastAsia" w:asciiTheme="minorEastAsia" w:hAnsiTheme="minorEastAsia" w:eastAsiaTheme="minorEastAsia" w:cstheme="minorEastAsia"/>
                <w:b w:val="0"/>
                <w:bCs w:val="0"/>
                <w:color w:val="auto"/>
                <w:kern w:val="0"/>
                <w:sz w:val="22"/>
                <w:szCs w:val="22"/>
                <w:highlight w:val="none"/>
              </w:rPr>
              <w:t>215套</w:t>
            </w:r>
          </w:p>
        </w:tc>
        <w:tc>
          <w:tcPr>
            <w:tcW w:w="2262" w:type="pct"/>
            <w:vAlign w:val="center"/>
          </w:tcPr>
          <w:p w14:paraId="25F4F4E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4F325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4" w:type="pct"/>
            <w:vAlign w:val="center"/>
          </w:tcPr>
          <w:p w14:paraId="288AD0B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8</w:t>
            </w:r>
          </w:p>
        </w:tc>
        <w:tc>
          <w:tcPr>
            <w:tcW w:w="1496" w:type="pct"/>
            <w:vAlign w:val="center"/>
          </w:tcPr>
          <w:p w14:paraId="5436BF0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手动报警按钮</w:t>
            </w:r>
          </w:p>
        </w:tc>
        <w:tc>
          <w:tcPr>
            <w:tcW w:w="786" w:type="pct"/>
            <w:vAlign w:val="center"/>
          </w:tcPr>
          <w:p w14:paraId="6B7AA67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约500</w:t>
            </w:r>
            <w:r>
              <w:rPr>
                <w:rFonts w:hint="eastAsia" w:asciiTheme="minorEastAsia" w:hAnsiTheme="minorEastAsia" w:eastAsiaTheme="minorEastAsia" w:cstheme="minorEastAsia"/>
                <w:b w:val="0"/>
                <w:bCs w:val="0"/>
                <w:color w:val="auto"/>
                <w:kern w:val="0"/>
                <w:sz w:val="22"/>
                <w:szCs w:val="22"/>
                <w:highlight w:val="none"/>
              </w:rPr>
              <w:t>套</w:t>
            </w:r>
          </w:p>
        </w:tc>
        <w:tc>
          <w:tcPr>
            <w:tcW w:w="2262" w:type="pct"/>
            <w:vAlign w:val="center"/>
          </w:tcPr>
          <w:p w14:paraId="0B910D26">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27EF2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2972D87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9</w:t>
            </w:r>
          </w:p>
        </w:tc>
        <w:tc>
          <w:tcPr>
            <w:tcW w:w="1496" w:type="pct"/>
            <w:vAlign w:val="center"/>
          </w:tcPr>
          <w:p w14:paraId="4C3EAB4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消火栓按钮</w:t>
            </w:r>
          </w:p>
        </w:tc>
        <w:tc>
          <w:tcPr>
            <w:tcW w:w="786" w:type="pct"/>
            <w:vAlign w:val="center"/>
          </w:tcPr>
          <w:p w14:paraId="4FFB293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约1700</w:t>
            </w:r>
            <w:r>
              <w:rPr>
                <w:rFonts w:hint="eastAsia" w:asciiTheme="minorEastAsia" w:hAnsiTheme="minorEastAsia" w:eastAsiaTheme="minorEastAsia" w:cstheme="minorEastAsia"/>
                <w:b w:val="0"/>
                <w:bCs w:val="0"/>
                <w:color w:val="auto"/>
                <w:kern w:val="0"/>
                <w:sz w:val="22"/>
                <w:szCs w:val="22"/>
                <w:highlight w:val="none"/>
              </w:rPr>
              <w:t>只</w:t>
            </w:r>
          </w:p>
        </w:tc>
        <w:tc>
          <w:tcPr>
            <w:tcW w:w="2262" w:type="pct"/>
            <w:vAlign w:val="center"/>
          </w:tcPr>
          <w:p w14:paraId="175E835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02CA4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085C21B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10</w:t>
            </w:r>
          </w:p>
        </w:tc>
        <w:tc>
          <w:tcPr>
            <w:tcW w:w="1496" w:type="pct"/>
            <w:vAlign w:val="center"/>
          </w:tcPr>
          <w:p w14:paraId="642478F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消火栓箱</w:t>
            </w:r>
          </w:p>
        </w:tc>
        <w:tc>
          <w:tcPr>
            <w:tcW w:w="786" w:type="pct"/>
            <w:vAlign w:val="center"/>
          </w:tcPr>
          <w:p w14:paraId="237FD8B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w:t>
            </w:r>
            <w:r>
              <w:rPr>
                <w:rFonts w:hint="eastAsia" w:asciiTheme="minorEastAsia" w:hAnsiTheme="minorEastAsia" w:eastAsiaTheme="minorEastAsia" w:cstheme="minorEastAsia"/>
                <w:b w:val="0"/>
                <w:bCs w:val="0"/>
                <w:color w:val="auto"/>
                <w:kern w:val="0"/>
                <w:sz w:val="22"/>
                <w:szCs w:val="22"/>
                <w:highlight w:val="none"/>
              </w:rPr>
              <w:t>1</w:t>
            </w:r>
            <w:r>
              <w:rPr>
                <w:rFonts w:hint="eastAsia" w:asciiTheme="minorEastAsia" w:hAnsiTheme="minorEastAsia" w:eastAsiaTheme="minorEastAsia" w:cstheme="minorEastAsia"/>
                <w:b w:val="0"/>
                <w:bCs w:val="0"/>
                <w:color w:val="auto"/>
                <w:kern w:val="0"/>
                <w:sz w:val="22"/>
                <w:szCs w:val="22"/>
                <w:highlight w:val="none"/>
                <w:lang w:val="en-US" w:eastAsia="zh-CN"/>
              </w:rPr>
              <w:t>700</w:t>
            </w:r>
            <w:r>
              <w:rPr>
                <w:rFonts w:hint="eastAsia" w:asciiTheme="minorEastAsia" w:hAnsiTheme="minorEastAsia" w:eastAsiaTheme="minorEastAsia" w:cstheme="minorEastAsia"/>
                <w:b w:val="0"/>
                <w:bCs w:val="0"/>
                <w:color w:val="auto"/>
                <w:kern w:val="0"/>
                <w:sz w:val="22"/>
                <w:szCs w:val="22"/>
                <w:highlight w:val="none"/>
              </w:rPr>
              <w:t>只</w:t>
            </w:r>
          </w:p>
        </w:tc>
        <w:tc>
          <w:tcPr>
            <w:tcW w:w="2262" w:type="pct"/>
            <w:vAlign w:val="center"/>
          </w:tcPr>
          <w:p w14:paraId="13A5BCE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各楼宇</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含学生宿舍</w:t>
            </w:r>
            <w:r>
              <w:rPr>
                <w:rFonts w:hint="eastAsia" w:asciiTheme="minorEastAsia" w:hAnsiTheme="minorEastAsia" w:eastAsiaTheme="minorEastAsia" w:cstheme="minorEastAsia"/>
                <w:b w:val="0"/>
                <w:bCs w:val="0"/>
                <w:color w:val="auto"/>
                <w:kern w:val="0"/>
                <w:sz w:val="22"/>
                <w:szCs w:val="22"/>
                <w:highlight w:val="none"/>
                <w:lang w:eastAsia="zh-CN"/>
              </w:rPr>
              <w:t>）</w:t>
            </w:r>
          </w:p>
        </w:tc>
      </w:tr>
      <w:tr w14:paraId="463EA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61A34FB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11</w:t>
            </w:r>
          </w:p>
        </w:tc>
        <w:tc>
          <w:tcPr>
            <w:tcW w:w="1496" w:type="pct"/>
            <w:vAlign w:val="center"/>
          </w:tcPr>
          <w:p w14:paraId="781FAA6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输入输出模块</w:t>
            </w:r>
          </w:p>
        </w:tc>
        <w:tc>
          <w:tcPr>
            <w:tcW w:w="786" w:type="pct"/>
            <w:vAlign w:val="center"/>
          </w:tcPr>
          <w:p w14:paraId="5DD802C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478只</w:t>
            </w:r>
          </w:p>
        </w:tc>
        <w:tc>
          <w:tcPr>
            <w:tcW w:w="2262" w:type="pct"/>
            <w:vAlign w:val="center"/>
          </w:tcPr>
          <w:p w14:paraId="799DF87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6D90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1FB3208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12</w:t>
            </w:r>
          </w:p>
        </w:tc>
        <w:tc>
          <w:tcPr>
            <w:tcW w:w="1496" w:type="pct"/>
            <w:vAlign w:val="center"/>
          </w:tcPr>
          <w:p w14:paraId="6F25648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输入模块</w:t>
            </w:r>
          </w:p>
        </w:tc>
        <w:tc>
          <w:tcPr>
            <w:tcW w:w="786" w:type="pct"/>
            <w:vAlign w:val="center"/>
          </w:tcPr>
          <w:p w14:paraId="2C37377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229只</w:t>
            </w:r>
          </w:p>
        </w:tc>
        <w:tc>
          <w:tcPr>
            <w:tcW w:w="2262" w:type="pct"/>
            <w:vAlign w:val="center"/>
          </w:tcPr>
          <w:p w14:paraId="0B8158E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4C309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3E741A4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13</w:t>
            </w:r>
          </w:p>
        </w:tc>
        <w:tc>
          <w:tcPr>
            <w:tcW w:w="1496" w:type="pct"/>
            <w:vAlign w:val="center"/>
          </w:tcPr>
          <w:p w14:paraId="3A8D906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多线模块（含切换模块）</w:t>
            </w:r>
          </w:p>
        </w:tc>
        <w:tc>
          <w:tcPr>
            <w:tcW w:w="786" w:type="pct"/>
            <w:vAlign w:val="center"/>
          </w:tcPr>
          <w:p w14:paraId="2CADB339">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50只</w:t>
            </w:r>
          </w:p>
        </w:tc>
        <w:tc>
          <w:tcPr>
            <w:tcW w:w="2262" w:type="pct"/>
            <w:vAlign w:val="center"/>
          </w:tcPr>
          <w:p w14:paraId="59E81B6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03034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1985689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14</w:t>
            </w:r>
          </w:p>
        </w:tc>
        <w:tc>
          <w:tcPr>
            <w:tcW w:w="1496" w:type="pct"/>
            <w:vAlign w:val="center"/>
          </w:tcPr>
          <w:p w14:paraId="7E12A45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消防泵</w:t>
            </w:r>
          </w:p>
        </w:tc>
        <w:tc>
          <w:tcPr>
            <w:tcW w:w="786" w:type="pct"/>
            <w:vAlign w:val="center"/>
          </w:tcPr>
          <w:p w14:paraId="1A98ADF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6台</w:t>
            </w:r>
          </w:p>
        </w:tc>
        <w:tc>
          <w:tcPr>
            <w:tcW w:w="2262" w:type="pct"/>
            <w:vMerge w:val="restart"/>
            <w:vAlign w:val="center"/>
          </w:tcPr>
          <w:p w14:paraId="4F6A37E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第三实训楼</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水上训练中心西南侧地下室</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w:t>
            </w:r>
            <w:r>
              <w:rPr>
                <w:rFonts w:hint="eastAsia" w:asciiTheme="minorEastAsia" w:hAnsiTheme="minorEastAsia" w:eastAsiaTheme="minorEastAsia" w:cstheme="minorEastAsia"/>
                <w:b w:val="0"/>
                <w:bCs w:val="0"/>
                <w:color w:val="auto"/>
                <w:kern w:val="0"/>
                <w:sz w:val="22"/>
                <w:szCs w:val="22"/>
                <w:highlight w:val="none"/>
                <w:lang w:val="en-US" w:eastAsia="zh-CN"/>
              </w:rPr>
              <w:t>崇文楼（地下室）、崇海楼南侧</w:t>
            </w:r>
            <w:r>
              <w:rPr>
                <w:rFonts w:hint="eastAsia" w:asciiTheme="minorEastAsia" w:hAnsiTheme="minorEastAsia" w:eastAsiaTheme="minorEastAsia" w:cstheme="minorEastAsia"/>
                <w:b w:val="0"/>
                <w:bCs w:val="0"/>
                <w:color w:val="auto"/>
                <w:kern w:val="0"/>
                <w:sz w:val="22"/>
                <w:szCs w:val="22"/>
                <w:highlight w:val="none"/>
              </w:rPr>
              <w:t>、体育馆</w:t>
            </w:r>
            <w:r>
              <w:rPr>
                <w:rFonts w:hint="eastAsia" w:asciiTheme="minorEastAsia" w:hAnsiTheme="minorEastAsia" w:eastAsiaTheme="minorEastAsia" w:cstheme="minorEastAsia"/>
                <w:b w:val="0"/>
                <w:bCs w:val="0"/>
                <w:color w:val="auto"/>
                <w:kern w:val="0"/>
                <w:sz w:val="22"/>
                <w:szCs w:val="22"/>
                <w:highlight w:val="none"/>
                <w:lang w:val="en-US" w:eastAsia="zh-CN"/>
              </w:rPr>
              <w:t>西北侧</w:t>
            </w:r>
            <w:r>
              <w:rPr>
                <w:rFonts w:hint="eastAsia" w:asciiTheme="minorEastAsia" w:hAnsiTheme="minorEastAsia" w:eastAsiaTheme="minorEastAsia" w:cstheme="minorEastAsia"/>
                <w:b w:val="0"/>
                <w:bCs w:val="0"/>
                <w:color w:val="auto"/>
                <w:kern w:val="0"/>
                <w:sz w:val="22"/>
                <w:szCs w:val="22"/>
                <w:highlight w:val="none"/>
              </w:rPr>
              <w:t>、图文信息</w:t>
            </w:r>
            <w:r>
              <w:rPr>
                <w:rFonts w:hint="eastAsia" w:asciiTheme="minorEastAsia" w:hAnsiTheme="minorEastAsia" w:eastAsiaTheme="minorEastAsia" w:cstheme="minorEastAsia"/>
                <w:b w:val="0"/>
                <w:bCs w:val="0"/>
                <w:color w:val="auto"/>
                <w:kern w:val="0"/>
                <w:sz w:val="22"/>
                <w:szCs w:val="22"/>
                <w:highlight w:val="none"/>
                <w:lang w:val="en-US" w:eastAsia="zh-CN"/>
              </w:rPr>
              <w:t>中心（地下室）</w:t>
            </w:r>
          </w:p>
        </w:tc>
      </w:tr>
      <w:tr w14:paraId="1F971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6674AED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15</w:t>
            </w:r>
          </w:p>
        </w:tc>
        <w:tc>
          <w:tcPr>
            <w:tcW w:w="1496" w:type="pct"/>
            <w:vAlign w:val="center"/>
          </w:tcPr>
          <w:p w14:paraId="19DB3F0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喷淋泵</w:t>
            </w:r>
          </w:p>
        </w:tc>
        <w:tc>
          <w:tcPr>
            <w:tcW w:w="786" w:type="pct"/>
            <w:vAlign w:val="center"/>
          </w:tcPr>
          <w:p w14:paraId="3B7E789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6台</w:t>
            </w:r>
          </w:p>
        </w:tc>
        <w:tc>
          <w:tcPr>
            <w:tcW w:w="2262" w:type="pct"/>
            <w:vMerge w:val="continue"/>
            <w:vAlign w:val="center"/>
          </w:tcPr>
          <w:p w14:paraId="205E642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p>
        </w:tc>
      </w:tr>
      <w:tr w14:paraId="072F6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42B8773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16</w:t>
            </w:r>
          </w:p>
        </w:tc>
        <w:tc>
          <w:tcPr>
            <w:tcW w:w="1496" w:type="pct"/>
            <w:vAlign w:val="center"/>
          </w:tcPr>
          <w:p w14:paraId="49494E0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雨淋泵</w:t>
            </w:r>
          </w:p>
        </w:tc>
        <w:tc>
          <w:tcPr>
            <w:tcW w:w="786" w:type="pct"/>
            <w:vAlign w:val="center"/>
          </w:tcPr>
          <w:p w14:paraId="0C9A3E3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2台</w:t>
            </w:r>
          </w:p>
        </w:tc>
        <w:tc>
          <w:tcPr>
            <w:tcW w:w="2262" w:type="pct"/>
            <w:vMerge w:val="continue"/>
            <w:vAlign w:val="center"/>
          </w:tcPr>
          <w:p w14:paraId="00910DC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p>
        </w:tc>
      </w:tr>
      <w:tr w14:paraId="151EA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5C846D3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17</w:t>
            </w:r>
          </w:p>
        </w:tc>
        <w:tc>
          <w:tcPr>
            <w:tcW w:w="1496" w:type="pct"/>
            <w:vAlign w:val="center"/>
          </w:tcPr>
          <w:p w14:paraId="62B66D6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稳压泵</w:t>
            </w:r>
          </w:p>
        </w:tc>
        <w:tc>
          <w:tcPr>
            <w:tcW w:w="786" w:type="pct"/>
            <w:vAlign w:val="center"/>
          </w:tcPr>
          <w:p w14:paraId="239BFE33">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12台</w:t>
            </w:r>
          </w:p>
        </w:tc>
        <w:tc>
          <w:tcPr>
            <w:tcW w:w="2262" w:type="pct"/>
            <w:vMerge w:val="continue"/>
            <w:vAlign w:val="center"/>
          </w:tcPr>
          <w:p w14:paraId="29B9E62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p>
        </w:tc>
      </w:tr>
      <w:tr w14:paraId="724B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3905B291">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18</w:t>
            </w:r>
          </w:p>
        </w:tc>
        <w:tc>
          <w:tcPr>
            <w:tcW w:w="1496" w:type="pct"/>
            <w:vAlign w:val="center"/>
          </w:tcPr>
          <w:p w14:paraId="538795A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防火卷帘门</w:t>
            </w:r>
          </w:p>
        </w:tc>
        <w:tc>
          <w:tcPr>
            <w:tcW w:w="786" w:type="pct"/>
            <w:vAlign w:val="center"/>
          </w:tcPr>
          <w:p w14:paraId="68A97CB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50套</w:t>
            </w:r>
          </w:p>
        </w:tc>
        <w:tc>
          <w:tcPr>
            <w:tcW w:w="2262" w:type="pct"/>
            <w:vAlign w:val="center"/>
          </w:tcPr>
          <w:p w14:paraId="25782AC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图文信息中心、崇川楼、学生宿舍楼</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J、K楼</w:t>
            </w:r>
            <w:r>
              <w:rPr>
                <w:rFonts w:hint="eastAsia" w:asciiTheme="minorEastAsia" w:hAnsiTheme="minorEastAsia" w:eastAsiaTheme="minorEastAsia" w:cstheme="minorEastAsia"/>
                <w:b w:val="0"/>
                <w:bCs w:val="0"/>
                <w:color w:val="auto"/>
                <w:kern w:val="0"/>
                <w:sz w:val="22"/>
                <w:szCs w:val="22"/>
                <w:highlight w:val="none"/>
                <w:lang w:eastAsia="zh-CN"/>
              </w:rPr>
              <w:t>）</w:t>
            </w:r>
          </w:p>
        </w:tc>
      </w:tr>
      <w:tr w14:paraId="36569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75ECFCA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19</w:t>
            </w:r>
          </w:p>
        </w:tc>
        <w:tc>
          <w:tcPr>
            <w:tcW w:w="1496" w:type="pct"/>
            <w:vAlign w:val="center"/>
          </w:tcPr>
          <w:p w14:paraId="32D51489">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消防水池</w:t>
            </w:r>
          </w:p>
        </w:tc>
        <w:tc>
          <w:tcPr>
            <w:tcW w:w="786" w:type="pct"/>
          </w:tcPr>
          <w:p w14:paraId="2D5829D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rPr>
              <w:t>处</w:t>
            </w:r>
          </w:p>
        </w:tc>
        <w:tc>
          <w:tcPr>
            <w:tcW w:w="2262" w:type="pct"/>
          </w:tcPr>
          <w:p w14:paraId="1240A52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第三实训楼</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水上训练中心西南侧地下室</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rPr>
              <w:t>、</w:t>
            </w:r>
            <w:r>
              <w:rPr>
                <w:rFonts w:hint="eastAsia" w:asciiTheme="minorEastAsia" w:hAnsiTheme="minorEastAsia" w:eastAsiaTheme="minorEastAsia" w:cstheme="minorEastAsia"/>
                <w:b w:val="0"/>
                <w:bCs w:val="0"/>
                <w:color w:val="auto"/>
                <w:kern w:val="0"/>
                <w:sz w:val="22"/>
                <w:szCs w:val="22"/>
                <w:highlight w:val="none"/>
                <w:lang w:val="en-US" w:eastAsia="zh-CN"/>
              </w:rPr>
              <w:t>崇文楼（地下室）、崇海楼南侧</w:t>
            </w:r>
            <w:r>
              <w:rPr>
                <w:rFonts w:hint="eastAsia" w:asciiTheme="minorEastAsia" w:hAnsiTheme="minorEastAsia" w:eastAsiaTheme="minorEastAsia" w:cstheme="minorEastAsia"/>
                <w:b w:val="0"/>
                <w:bCs w:val="0"/>
                <w:color w:val="auto"/>
                <w:kern w:val="0"/>
                <w:sz w:val="22"/>
                <w:szCs w:val="22"/>
                <w:highlight w:val="none"/>
              </w:rPr>
              <w:t>、体育馆</w:t>
            </w:r>
            <w:r>
              <w:rPr>
                <w:rFonts w:hint="eastAsia" w:asciiTheme="minorEastAsia" w:hAnsiTheme="minorEastAsia" w:eastAsiaTheme="minorEastAsia" w:cstheme="minorEastAsia"/>
                <w:b w:val="0"/>
                <w:bCs w:val="0"/>
                <w:color w:val="auto"/>
                <w:kern w:val="0"/>
                <w:sz w:val="22"/>
                <w:szCs w:val="22"/>
                <w:highlight w:val="none"/>
                <w:lang w:val="en-US" w:eastAsia="zh-CN"/>
              </w:rPr>
              <w:t>西北侧</w:t>
            </w:r>
            <w:r>
              <w:rPr>
                <w:rFonts w:hint="eastAsia" w:asciiTheme="minorEastAsia" w:hAnsiTheme="minorEastAsia" w:eastAsiaTheme="minorEastAsia" w:cstheme="minorEastAsia"/>
                <w:b w:val="0"/>
                <w:bCs w:val="0"/>
                <w:color w:val="auto"/>
                <w:kern w:val="0"/>
                <w:sz w:val="22"/>
                <w:szCs w:val="22"/>
                <w:highlight w:val="none"/>
              </w:rPr>
              <w:t>、图文信息</w:t>
            </w:r>
            <w:r>
              <w:rPr>
                <w:rFonts w:hint="eastAsia" w:asciiTheme="minorEastAsia" w:hAnsiTheme="minorEastAsia" w:eastAsiaTheme="minorEastAsia" w:cstheme="minorEastAsia"/>
                <w:b w:val="0"/>
                <w:bCs w:val="0"/>
                <w:color w:val="auto"/>
                <w:kern w:val="0"/>
                <w:sz w:val="22"/>
                <w:szCs w:val="22"/>
                <w:highlight w:val="none"/>
                <w:lang w:val="en-US" w:eastAsia="zh-CN"/>
              </w:rPr>
              <w:t>中心（地下室）</w:t>
            </w:r>
          </w:p>
        </w:tc>
      </w:tr>
      <w:tr w14:paraId="7F51C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45D03A7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20</w:t>
            </w:r>
          </w:p>
        </w:tc>
        <w:tc>
          <w:tcPr>
            <w:tcW w:w="1496" w:type="pct"/>
            <w:vAlign w:val="center"/>
          </w:tcPr>
          <w:p w14:paraId="6076773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高位水箱</w:t>
            </w:r>
          </w:p>
        </w:tc>
        <w:tc>
          <w:tcPr>
            <w:tcW w:w="786" w:type="pct"/>
          </w:tcPr>
          <w:p w14:paraId="6F0BAED8">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4处</w:t>
            </w:r>
          </w:p>
        </w:tc>
        <w:tc>
          <w:tcPr>
            <w:tcW w:w="2262" w:type="pct"/>
          </w:tcPr>
          <w:p w14:paraId="29CDB7A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图文信息</w:t>
            </w:r>
            <w:r>
              <w:rPr>
                <w:rFonts w:hint="eastAsia" w:asciiTheme="minorEastAsia" w:hAnsiTheme="minorEastAsia" w:eastAsiaTheme="minorEastAsia" w:cstheme="minorEastAsia"/>
                <w:b w:val="0"/>
                <w:bCs w:val="0"/>
                <w:color w:val="auto"/>
                <w:kern w:val="0"/>
                <w:sz w:val="22"/>
                <w:szCs w:val="22"/>
                <w:highlight w:val="none"/>
                <w:lang w:val="en-US" w:eastAsia="zh-CN"/>
              </w:rPr>
              <w:t>中心、体育馆北侧3楼、思源堂屋顶、第三实训楼屋顶东北侧</w:t>
            </w:r>
          </w:p>
        </w:tc>
      </w:tr>
      <w:tr w14:paraId="03593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241AA68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21</w:t>
            </w:r>
          </w:p>
        </w:tc>
        <w:tc>
          <w:tcPr>
            <w:tcW w:w="1496" w:type="pct"/>
            <w:vAlign w:val="center"/>
          </w:tcPr>
          <w:p w14:paraId="6E520B5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防排烟风机</w:t>
            </w:r>
          </w:p>
        </w:tc>
        <w:tc>
          <w:tcPr>
            <w:tcW w:w="786" w:type="pct"/>
          </w:tcPr>
          <w:p w14:paraId="165396A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36台</w:t>
            </w:r>
          </w:p>
        </w:tc>
        <w:tc>
          <w:tcPr>
            <w:tcW w:w="2262" w:type="pct"/>
          </w:tcPr>
          <w:p w14:paraId="068EB023">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体育馆、礼堂、图文信息</w:t>
            </w:r>
            <w:r>
              <w:rPr>
                <w:rFonts w:hint="eastAsia" w:asciiTheme="minorEastAsia" w:hAnsiTheme="minorEastAsia" w:eastAsiaTheme="minorEastAsia" w:cstheme="minorEastAsia"/>
                <w:b w:val="0"/>
                <w:bCs w:val="0"/>
                <w:color w:val="auto"/>
                <w:kern w:val="0"/>
                <w:sz w:val="22"/>
                <w:szCs w:val="22"/>
                <w:highlight w:val="none"/>
                <w:lang w:val="en-US" w:eastAsia="zh-CN"/>
              </w:rPr>
              <w:t>中心、崇文楼</w:t>
            </w:r>
          </w:p>
        </w:tc>
      </w:tr>
      <w:tr w14:paraId="3F8C2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2DA09A3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22</w:t>
            </w:r>
          </w:p>
        </w:tc>
        <w:tc>
          <w:tcPr>
            <w:tcW w:w="1496" w:type="pct"/>
            <w:vAlign w:val="center"/>
          </w:tcPr>
          <w:p w14:paraId="58B43399">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应急照明灯</w:t>
            </w:r>
          </w:p>
        </w:tc>
        <w:tc>
          <w:tcPr>
            <w:tcW w:w="786" w:type="pct"/>
            <w:vAlign w:val="center"/>
          </w:tcPr>
          <w:p w14:paraId="7F77557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约3000个</w:t>
            </w:r>
          </w:p>
        </w:tc>
        <w:tc>
          <w:tcPr>
            <w:tcW w:w="2262" w:type="pct"/>
            <w:vAlign w:val="center"/>
          </w:tcPr>
          <w:p w14:paraId="2834C11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3C21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4" w:type="pct"/>
            <w:vAlign w:val="center"/>
          </w:tcPr>
          <w:p w14:paraId="14757F2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23</w:t>
            </w:r>
          </w:p>
        </w:tc>
        <w:tc>
          <w:tcPr>
            <w:tcW w:w="1496" w:type="pct"/>
            <w:vAlign w:val="center"/>
          </w:tcPr>
          <w:p w14:paraId="0BDEFB93">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疏散指示灯</w:t>
            </w:r>
          </w:p>
        </w:tc>
        <w:tc>
          <w:tcPr>
            <w:tcW w:w="786" w:type="pct"/>
            <w:vAlign w:val="center"/>
          </w:tcPr>
          <w:p w14:paraId="14A0E7D7">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约3000个</w:t>
            </w:r>
          </w:p>
        </w:tc>
        <w:tc>
          <w:tcPr>
            <w:tcW w:w="2262" w:type="pct"/>
            <w:vAlign w:val="center"/>
          </w:tcPr>
          <w:p w14:paraId="010BC41C">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6FF6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454" w:type="pct"/>
            <w:vAlign w:val="center"/>
          </w:tcPr>
          <w:p w14:paraId="4C91DA6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24</w:t>
            </w:r>
          </w:p>
        </w:tc>
        <w:tc>
          <w:tcPr>
            <w:tcW w:w="1496" w:type="pct"/>
          </w:tcPr>
          <w:p w14:paraId="2CC9F10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消防灭火器</w:t>
            </w:r>
          </w:p>
        </w:tc>
        <w:tc>
          <w:tcPr>
            <w:tcW w:w="786" w:type="pct"/>
          </w:tcPr>
          <w:p w14:paraId="3DCBEBC9">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约30</w:t>
            </w:r>
            <w:r>
              <w:rPr>
                <w:rFonts w:hint="eastAsia" w:asciiTheme="minorEastAsia" w:hAnsiTheme="minorEastAsia" w:eastAsiaTheme="minorEastAsia" w:cstheme="minorEastAsia"/>
                <w:b w:val="0"/>
                <w:bCs w:val="0"/>
                <w:color w:val="auto"/>
                <w:kern w:val="0"/>
                <w:sz w:val="22"/>
                <w:szCs w:val="22"/>
                <w:highlight w:val="none"/>
              </w:rPr>
              <w:t>00</w:t>
            </w:r>
            <w:r>
              <w:rPr>
                <w:rFonts w:hint="eastAsia" w:asciiTheme="minorEastAsia" w:hAnsiTheme="minorEastAsia" w:eastAsiaTheme="minorEastAsia" w:cstheme="minorEastAsia"/>
                <w:b w:val="0"/>
                <w:bCs w:val="0"/>
                <w:color w:val="auto"/>
                <w:kern w:val="0"/>
                <w:sz w:val="22"/>
                <w:szCs w:val="22"/>
                <w:highlight w:val="none"/>
                <w:lang w:val="en-US" w:eastAsia="zh-CN"/>
              </w:rPr>
              <w:t>个</w:t>
            </w:r>
          </w:p>
        </w:tc>
        <w:tc>
          <w:tcPr>
            <w:tcW w:w="2262" w:type="pct"/>
          </w:tcPr>
          <w:p w14:paraId="548507D6">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r w14:paraId="2D85B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454" w:type="pct"/>
            <w:vAlign w:val="center"/>
          </w:tcPr>
          <w:p w14:paraId="3ABDB45F">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25</w:t>
            </w:r>
          </w:p>
        </w:tc>
        <w:tc>
          <w:tcPr>
            <w:tcW w:w="1496" w:type="pct"/>
          </w:tcPr>
          <w:p w14:paraId="04EAF69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消防链接水带</w:t>
            </w:r>
          </w:p>
        </w:tc>
        <w:tc>
          <w:tcPr>
            <w:tcW w:w="786" w:type="pct"/>
          </w:tcPr>
          <w:p w14:paraId="7F4C3C5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约</w:t>
            </w:r>
            <w:r>
              <w:rPr>
                <w:rFonts w:hint="eastAsia" w:asciiTheme="minorEastAsia" w:hAnsiTheme="minorEastAsia" w:eastAsiaTheme="minorEastAsia" w:cstheme="minorEastAsia"/>
                <w:b w:val="0"/>
                <w:bCs w:val="0"/>
                <w:color w:val="auto"/>
                <w:kern w:val="0"/>
                <w:sz w:val="22"/>
                <w:szCs w:val="22"/>
                <w:highlight w:val="none"/>
              </w:rPr>
              <w:t>1</w:t>
            </w:r>
            <w:r>
              <w:rPr>
                <w:rFonts w:hint="eastAsia" w:asciiTheme="minorEastAsia" w:hAnsiTheme="minorEastAsia" w:eastAsiaTheme="minorEastAsia" w:cstheme="minorEastAsia"/>
                <w:b w:val="0"/>
                <w:bCs w:val="0"/>
                <w:color w:val="auto"/>
                <w:kern w:val="0"/>
                <w:sz w:val="22"/>
                <w:szCs w:val="22"/>
                <w:highlight w:val="none"/>
                <w:lang w:val="en-US" w:eastAsia="zh-CN"/>
              </w:rPr>
              <w:t>700</w:t>
            </w:r>
            <w:r>
              <w:rPr>
                <w:rFonts w:hint="eastAsia" w:asciiTheme="minorEastAsia" w:hAnsiTheme="minorEastAsia" w:eastAsiaTheme="minorEastAsia" w:cstheme="minorEastAsia"/>
                <w:b w:val="0"/>
                <w:bCs w:val="0"/>
                <w:color w:val="auto"/>
                <w:kern w:val="0"/>
                <w:sz w:val="22"/>
                <w:szCs w:val="22"/>
                <w:highlight w:val="none"/>
              </w:rPr>
              <w:t>卷</w:t>
            </w:r>
          </w:p>
        </w:tc>
        <w:tc>
          <w:tcPr>
            <w:tcW w:w="2262" w:type="pct"/>
          </w:tcPr>
          <w:p w14:paraId="22BB24D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各楼宇</w:t>
            </w:r>
          </w:p>
        </w:tc>
      </w:tr>
    </w:tbl>
    <w:p w14:paraId="1931BA03">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 xml:space="preserve"> </w:t>
      </w:r>
      <w:r>
        <w:rPr>
          <w:rFonts w:hint="eastAsia" w:ascii="宋体" w:hAnsi="宋体"/>
          <w:color w:val="auto"/>
          <w:sz w:val="24"/>
          <w:highlight w:val="none"/>
          <w:lang w:val="en-US" w:eastAsia="zh-CN"/>
        </w:rPr>
        <w:t>注：</w:t>
      </w:r>
      <w:r>
        <w:rPr>
          <w:rFonts w:hint="eastAsia" w:ascii="宋体" w:hAnsi="宋体"/>
          <w:color w:val="auto"/>
          <w:sz w:val="24"/>
          <w:highlight w:val="none"/>
        </w:rPr>
        <w:t xml:space="preserve"> </w:t>
      </w:r>
    </w:p>
    <w:p w14:paraId="04ECF937">
      <w:pPr>
        <w:numPr>
          <w:ilvl w:val="0"/>
          <w:numId w:val="0"/>
        </w:numPr>
        <w:spacing w:line="360" w:lineRule="auto"/>
        <w:ind w:firstLine="480" w:firstLineChars="200"/>
        <w:rPr>
          <w:rFonts w:hint="eastAsia" w:ascii="宋体" w:hAnsi="宋体"/>
          <w:color w:val="auto"/>
          <w:sz w:val="24"/>
          <w:highlight w:val="none"/>
          <w:lang w:val="en-US" w:eastAsia="zh-CN"/>
        </w:rPr>
      </w:pPr>
      <w:r>
        <w:rPr>
          <w:rFonts w:hint="eastAsia" w:ascii="宋体" w:hAnsi="宋体" w:eastAsiaTheme="minorEastAsia" w:cstheme="minorBidi"/>
          <w:color w:val="auto"/>
          <w:kern w:val="2"/>
          <w:sz w:val="24"/>
          <w:szCs w:val="22"/>
          <w:highlight w:val="none"/>
          <w:lang w:val="en-US" w:eastAsia="zh-CN" w:bidi="ar-SA"/>
        </w:rPr>
        <w:t>1.</w:t>
      </w:r>
      <w:r>
        <w:rPr>
          <w:rFonts w:hint="eastAsia" w:ascii="宋体" w:hAnsi="宋体"/>
          <w:color w:val="auto"/>
          <w:sz w:val="24"/>
          <w:highlight w:val="none"/>
          <w:lang w:val="en-US" w:eastAsia="zh-CN"/>
        </w:rPr>
        <w:t>项目履行过程中以实际现有数量为准。</w:t>
      </w:r>
    </w:p>
    <w:p w14:paraId="3FF17506">
      <w:pPr>
        <w:numPr>
          <w:ilvl w:val="0"/>
          <w:numId w:val="0"/>
        </w:numPr>
        <w:spacing w:line="360" w:lineRule="auto"/>
        <w:ind w:firstLine="480" w:firstLineChars="200"/>
        <w:rPr>
          <w:rFonts w:hint="default" w:ascii="宋体" w:hAnsi="宋体"/>
          <w:color w:val="auto"/>
          <w:sz w:val="24"/>
          <w:highlight w:val="none"/>
          <w:lang w:val="en-US" w:eastAsia="zh-CN"/>
        </w:rPr>
      </w:pPr>
      <w:r>
        <w:rPr>
          <w:rFonts w:hint="default" w:ascii="宋体" w:hAnsi="宋体" w:eastAsiaTheme="minorEastAsia" w:cstheme="minorBidi"/>
          <w:color w:val="auto"/>
          <w:kern w:val="2"/>
          <w:sz w:val="24"/>
          <w:szCs w:val="22"/>
          <w:highlight w:val="none"/>
          <w:lang w:val="en-US" w:eastAsia="zh-CN" w:bidi="ar-SA"/>
        </w:rPr>
        <w:t>2.</w:t>
      </w:r>
      <w:r>
        <w:rPr>
          <w:rFonts w:hint="eastAsia" w:ascii="宋体" w:hAnsi="宋体" w:cstheme="minorBidi"/>
          <w:color w:val="auto"/>
          <w:kern w:val="2"/>
          <w:sz w:val="24"/>
          <w:szCs w:val="22"/>
          <w:highlight w:val="none"/>
          <w:lang w:val="en-US" w:eastAsia="zh-CN" w:bidi="ar-SA"/>
        </w:rPr>
        <w:t>甲方</w:t>
      </w:r>
      <w:r>
        <w:rPr>
          <w:rFonts w:hint="default" w:ascii="宋体" w:hAnsi="宋体" w:eastAsiaTheme="minorEastAsia" w:cstheme="minorBidi"/>
          <w:color w:val="auto"/>
          <w:kern w:val="2"/>
          <w:sz w:val="24"/>
          <w:szCs w:val="22"/>
          <w:highlight w:val="none"/>
          <w:lang w:val="en-US" w:eastAsia="zh-CN" w:bidi="ar-SA"/>
        </w:rPr>
        <w:t>正在建设轨道交通产教融合实训基地，该基地规划总建筑面积为13000平方米，地上主楼四层、辅楼两层、地下一层。该楼内包括但不限于火灾自动报警系统、消防专用电话系统、火灾应急广播系统、消火栓系统、喷淋系统、排烟系统、防烟系统、防火卷帘及防火门、变配电房气体灭火系统、漏电火灾监控报警系统、消防电源监控系统等。该楼预计于2025年竣工投入使用，</w:t>
      </w:r>
      <w:r>
        <w:rPr>
          <w:rFonts w:hint="eastAsia" w:ascii="宋体" w:hAnsi="宋体" w:cstheme="minorBidi"/>
          <w:color w:val="auto"/>
          <w:kern w:val="2"/>
          <w:sz w:val="24"/>
          <w:szCs w:val="22"/>
          <w:highlight w:val="none"/>
          <w:lang w:val="en-US" w:eastAsia="zh-CN" w:bidi="ar-SA"/>
        </w:rPr>
        <w:t>乙方</w:t>
      </w:r>
      <w:r>
        <w:rPr>
          <w:rFonts w:hint="default" w:ascii="宋体" w:hAnsi="宋体" w:eastAsiaTheme="minorEastAsia" w:cstheme="minorBidi"/>
          <w:color w:val="auto"/>
          <w:kern w:val="2"/>
          <w:sz w:val="24"/>
          <w:szCs w:val="22"/>
          <w:highlight w:val="none"/>
          <w:lang w:val="en-US" w:eastAsia="zh-CN" w:bidi="ar-SA"/>
        </w:rPr>
        <w:t>应配合</w:t>
      </w:r>
      <w:r>
        <w:rPr>
          <w:rFonts w:hint="eastAsia" w:ascii="宋体" w:hAnsi="宋体" w:cstheme="minorBidi"/>
          <w:color w:val="auto"/>
          <w:kern w:val="2"/>
          <w:sz w:val="24"/>
          <w:szCs w:val="22"/>
          <w:highlight w:val="none"/>
          <w:lang w:val="en-US" w:eastAsia="zh-CN" w:bidi="ar-SA"/>
        </w:rPr>
        <w:t>甲方</w:t>
      </w:r>
      <w:r>
        <w:rPr>
          <w:rFonts w:hint="default" w:ascii="宋体" w:hAnsi="宋体" w:eastAsiaTheme="minorEastAsia" w:cstheme="minorBidi"/>
          <w:color w:val="auto"/>
          <w:kern w:val="2"/>
          <w:sz w:val="24"/>
          <w:szCs w:val="22"/>
          <w:highlight w:val="none"/>
          <w:lang w:val="en-US" w:eastAsia="zh-CN" w:bidi="ar-SA"/>
        </w:rPr>
        <w:t>做好消防系统移交时的验收工作，并在维保合同期内对该楼消防设备进行巡检与维保。</w:t>
      </w:r>
    </w:p>
    <w:p w14:paraId="48C07D7C">
      <w:pPr>
        <w:spacing w:line="360" w:lineRule="auto"/>
        <w:ind w:firstLine="480" w:firstLineChars="200"/>
        <w:rPr>
          <w:rFonts w:hint="eastAsia" w:ascii="宋体" w:hAnsi="宋体"/>
          <w:color w:val="auto"/>
          <w:sz w:val="24"/>
          <w:highlight w:val="none"/>
        </w:rPr>
      </w:pPr>
      <w:r>
        <w:rPr>
          <w:rFonts w:hint="eastAsia" w:ascii="宋体" w:hAnsi="宋体"/>
          <w:color w:val="auto"/>
          <w:sz w:val="24"/>
          <w:highlight w:val="none"/>
        </w:rPr>
        <w:t>三、本次合同自202</w:t>
      </w:r>
      <w:r>
        <w:rPr>
          <w:rFonts w:hint="eastAsia" w:ascii="宋体" w:hAnsi="宋体"/>
          <w:color w:val="auto"/>
          <w:sz w:val="24"/>
          <w:highlight w:val="none"/>
          <w:lang w:val="en-US" w:eastAsia="zh-CN"/>
        </w:rPr>
        <w:t>4</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日零时起至202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  </w:t>
      </w:r>
      <w:r>
        <w:rPr>
          <w:rFonts w:hint="eastAsia" w:ascii="宋体" w:hAnsi="宋体"/>
          <w:color w:val="auto"/>
          <w:sz w:val="24"/>
          <w:highlight w:val="none"/>
        </w:rPr>
        <w:t>日24时止。合同期满，</w:t>
      </w:r>
      <w:r>
        <w:rPr>
          <w:rFonts w:hint="eastAsia" w:ascii="宋体" w:hAnsi="宋体"/>
          <w:color w:val="auto"/>
          <w:sz w:val="24"/>
          <w:highlight w:val="none"/>
          <w:lang w:val="en-US" w:eastAsia="zh-CN"/>
        </w:rPr>
        <w:t>若合同期内每月的</w:t>
      </w:r>
      <w:r>
        <w:rPr>
          <w:rFonts w:hint="eastAsia" w:ascii="宋体" w:hAnsi="宋体"/>
          <w:color w:val="auto"/>
          <w:sz w:val="24"/>
          <w:highlight w:val="none"/>
        </w:rPr>
        <w:t>消防维保服务评价</w:t>
      </w:r>
      <w:r>
        <w:rPr>
          <w:rFonts w:hint="eastAsia" w:ascii="宋体" w:hAnsi="宋体"/>
          <w:color w:val="auto"/>
          <w:sz w:val="24"/>
          <w:highlight w:val="none"/>
          <w:lang w:val="en-US" w:eastAsia="zh-CN"/>
        </w:rPr>
        <w:t>得分均在90分以上的，</w:t>
      </w:r>
      <w:r>
        <w:rPr>
          <w:rFonts w:hint="eastAsia" w:ascii="宋体" w:hAnsi="宋体"/>
          <w:color w:val="auto"/>
          <w:sz w:val="24"/>
          <w:highlight w:val="none"/>
        </w:rPr>
        <w:t>同时满足相关法律法规的前提下，可续签次年服务合同，续签不超过两次。</w:t>
      </w:r>
    </w:p>
    <w:p w14:paraId="532AF3B8">
      <w:pPr>
        <w:spacing w:line="360" w:lineRule="auto"/>
        <w:ind w:firstLine="480" w:firstLineChars="200"/>
        <w:rPr>
          <w:rFonts w:hint="eastAsia" w:ascii="宋体" w:hAnsi="宋体"/>
          <w:color w:val="auto"/>
          <w:sz w:val="24"/>
          <w:highlight w:val="none"/>
          <w:lang w:val="en-US" w:eastAsia="zh-CN"/>
        </w:rPr>
      </w:pPr>
      <w:r>
        <w:rPr>
          <w:rFonts w:hint="eastAsia" w:ascii="宋体" w:hAnsi="宋体"/>
          <w:color w:val="auto"/>
          <w:sz w:val="24"/>
          <w:highlight w:val="none"/>
          <w:lang w:val="en-US" w:eastAsia="zh-CN"/>
        </w:rPr>
        <w:t>四、服务要求</w:t>
      </w:r>
    </w:p>
    <w:p w14:paraId="63524CAF">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1．巡查、检测</w:t>
      </w:r>
    </w:p>
    <w:p w14:paraId="534CA641">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按照《建筑消防设施的维修管理》（GB25201-2010）及《建筑消防设施维护保养规程》（DB32/T 4696-2024）要求，每月至少对维保范围内的所有消防系统进行一次全面维护检测和常规保养，对故障进行原因排查以及联系设备厂家解决处理。向消防控制室值班人员提供操作培训与技术咨询服务。为了使维保单位全面掌握维保工作量，现对维保检测和常规保养主要工作要求如下：</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5437"/>
        <w:gridCol w:w="1267"/>
      </w:tblGrid>
      <w:tr w14:paraId="770FB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818" w:type="dxa"/>
            <w:vAlign w:val="center"/>
          </w:tcPr>
          <w:p w14:paraId="0C7B6AE5">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维保项目</w:t>
            </w:r>
          </w:p>
        </w:tc>
        <w:tc>
          <w:tcPr>
            <w:tcW w:w="5437" w:type="dxa"/>
            <w:vAlign w:val="center"/>
          </w:tcPr>
          <w:p w14:paraId="54B6675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维保内容</w:t>
            </w:r>
          </w:p>
        </w:tc>
        <w:tc>
          <w:tcPr>
            <w:tcW w:w="1267" w:type="dxa"/>
            <w:vAlign w:val="center"/>
          </w:tcPr>
          <w:p w14:paraId="520123F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周期</w:t>
            </w:r>
          </w:p>
        </w:tc>
      </w:tr>
      <w:tr w14:paraId="2DD8F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437C6976">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消防控制室、 消防水泵房巡查</w:t>
            </w:r>
          </w:p>
        </w:tc>
        <w:tc>
          <w:tcPr>
            <w:tcW w:w="5437" w:type="dxa"/>
            <w:vAlign w:val="center"/>
          </w:tcPr>
          <w:p w14:paraId="2E987A02">
            <w:pPr>
              <w:keepNext w:val="0"/>
              <w:keepLines w:val="0"/>
              <w:pageBreakBefore w:val="0"/>
              <w:kinsoku/>
              <w:wordWrap/>
              <w:overflowPunct/>
              <w:topLinePunct w:val="0"/>
              <w:autoSpaceDE/>
              <w:autoSpaceDN/>
              <w:bidi w:val="0"/>
              <w:adjustRightInd/>
              <w:snapToGrid w:val="0"/>
              <w:spacing w:line="420" w:lineRule="exact"/>
              <w:ind w:firstLine="0" w:firstLineChars="0"/>
              <w:textAlignment w:val="auto"/>
              <w:rPr>
                <w:rFonts w:hint="eastAsia" w:asciiTheme="minorEastAsia" w:hAnsiTheme="minorEastAsia" w:eastAsiaTheme="minorEastAsia" w:cstheme="minorEastAsia"/>
                <w:b w:val="0"/>
                <w:bCs w:val="0"/>
                <w:color w:val="auto"/>
                <w:spacing w:val="4"/>
                <w:sz w:val="22"/>
                <w:szCs w:val="22"/>
                <w:highlight w:val="none"/>
              </w:rPr>
            </w:pPr>
            <w:r>
              <w:rPr>
                <w:rFonts w:hint="eastAsia" w:asciiTheme="minorEastAsia" w:hAnsiTheme="minorEastAsia" w:eastAsiaTheme="minorEastAsia" w:cstheme="minorEastAsia"/>
                <w:b w:val="0"/>
                <w:bCs w:val="0"/>
                <w:color w:val="auto"/>
                <w:spacing w:val="4"/>
                <w:sz w:val="22"/>
                <w:szCs w:val="22"/>
                <w:highlight w:val="none"/>
                <w:lang w:val="en-US" w:eastAsia="zh-CN"/>
              </w:rPr>
              <w:t>1.</w:t>
            </w:r>
            <w:r>
              <w:rPr>
                <w:rFonts w:hint="eastAsia" w:asciiTheme="minorEastAsia" w:hAnsiTheme="minorEastAsia" w:eastAsiaTheme="minorEastAsia" w:cstheme="minorEastAsia"/>
                <w:b w:val="0"/>
                <w:bCs w:val="0"/>
                <w:color w:val="auto"/>
                <w:spacing w:val="4"/>
                <w:sz w:val="22"/>
                <w:szCs w:val="22"/>
                <w:highlight w:val="none"/>
              </w:rPr>
              <w:t>对消防控制室及消防水泵房设施进行巡查一次，并做好每日维护巡查记录及人员报到登记，发现问题及故障应及时维修排除。</w:t>
            </w:r>
          </w:p>
        </w:tc>
        <w:tc>
          <w:tcPr>
            <w:tcW w:w="1267" w:type="dxa"/>
            <w:vAlign w:val="center"/>
          </w:tcPr>
          <w:p w14:paraId="1842D17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每日一次</w:t>
            </w:r>
          </w:p>
        </w:tc>
      </w:tr>
      <w:tr w14:paraId="2D2A5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5D0CD246">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消防控制主机</w:t>
            </w:r>
          </w:p>
        </w:tc>
        <w:tc>
          <w:tcPr>
            <w:tcW w:w="5437" w:type="dxa"/>
          </w:tcPr>
          <w:p w14:paraId="171AB4D1">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火灾探测器、手动报警按钮报警功能正常。</w:t>
            </w:r>
          </w:p>
          <w:p w14:paraId="49D9B7FD">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检测警报装置警报功能、联动广播。</w:t>
            </w:r>
          </w:p>
          <w:p w14:paraId="5C101D86">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检测报警控制器、CRT图形显示器、火灾显示盘、层显等报警、显示、打印等功能。</w:t>
            </w:r>
          </w:p>
          <w:p w14:paraId="6CA749CF">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检测消防联动控制器及控制模块的手动、自动联动控制功能、显示功能、主、备电源切换功能、备用电源充、放电功能。</w:t>
            </w:r>
          </w:p>
          <w:p w14:paraId="240D8845">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rPr>
              <w:t>检测消防电梯的紧急迫降功能。</w:t>
            </w:r>
          </w:p>
          <w:p w14:paraId="3E689135">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6.</w:t>
            </w:r>
            <w:r>
              <w:rPr>
                <w:rFonts w:hint="eastAsia" w:asciiTheme="minorEastAsia" w:hAnsiTheme="minorEastAsia" w:eastAsiaTheme="minorEastAsia" w:cstheme="minorEastAsia"/>
                <w:b w:val="0"/>
                <w:bCs w:val="0"/>
                <w:color w:val="auto"/>
                <w:kern w:val="0"/>
                <w:sz w:val="22"/>
                <w:szCs w:val="22"/>
                <w:highlight w:val="none"/>
              </w:rPr>
              <w:t>气体灭火装置检测。</w:t>
            </w:r>
          </w:p>
        </w:tc>
        <w:tc>
          <w:tcPr>
            <w:tcW w:w="1267" w:type="dxa"/>
            <w:vAlign w:val="center"/>
          </w:tcPr>
          <w:p w14:paraId="674E66A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每日一次</w:t>
            </w:r>
          </w:p>
        </w:tc>
      </w:tr>
      <w:tr w14:paraId="3740E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532EF27C">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消防供配电设施</w:t>
            </w:r>
          </w:p>
        </w:tc>
        <w:tc>
          <w:tcPr>
            <w:tcW w:w="5437" w:type="dxa"/>
          </w:tcPr>
          <w:p w14:paraId="021335E5">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消防电源配电箱主、备电源切换功能。</w:t>
            </w:r>
          </w:p>
          <w:p w14:paraId="05DA84CA">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应急电源充、放电试验。</w:t>
            </w:r>
          </w:p>
          <w:p w14:paraId="13D13927">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消防电源主、备电源供电能力测试。</w:t>
            </w:r>
          </w:p>
          <w:p w14:paraId="02A94561">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非消防电源的联动切断试验（风机、消防泵等）</w:t>
            </w:r>
          </w:p>
        </w:tc>
        <w:tc>
          <w:tcPr>
            <w:tcW w:w="1267" w:type="dxa"/>
            <w:vAlign w:val="center"/>
          </w:tcPr>
          <w:p w14:paraId="5F1589ED">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61AE7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4411C4B1">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点型感烟探测器</w:t>
            </w:r>
          </w:p>
        </w:tc>
        <w:tc>
          <w:tcPr>
            <w:tcW w:w="5437" w:type="dxa"/>
          </w:tcPr>
          <w:p w14:paraId="0C8B0558">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放烟状态，检测探测器报警确认灯以及火灾报警控制器的火警信号显示。</w:t>
            </w:r>
          </w:p>
          <w:p w14:paraId="2B8A6AEF">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消烟重定，检测探测器报警确认灯在重定前后的变化情况。</w:t>
            </w:r>
          </w:p>
        </w:tc>
        <w:tc>
          <w:tcPr>
            <w:tcW w:w="1267" w:type="dxa"/>
            <w:vAlign w:val="center"/>
          </w:tcPr>
          <w:p w14:paraId="3BD67013">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每月不少于全数的10%，每年全数</w:t>
            </w:r>
          </w:p>
        </w:tc>
      </w:tr>
      <w:tr w14:paraId="2B114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581E1E6B">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手动报警按钮</w:t>
            </w:r>
          </w:p>
        </w:tc>
        <w:tc>
          <w:tcPr>
            <w:tcW w:w="5437" w:type="dxa"/>
          </w:tcPr>
          <w:p w14:paraId="53947180">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1.外罩玻璃保持完好，触发按钮检测火灾报警控制器信号和按钮的报警确认灯是否准确。</w:t>
            </w:r>
          </w:p>
        </w:tc>
        <w:tc>
          <w:tcPr>
            <w:tcW w:w="1267" w:type="dxa"/>
            <w:vAlign w:val="center"/>
          </w:tcPr>
          <w:p w14:paraId="75B2E31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每月不少于全数的10%，每年全数</w:t>
            </w:r>
          </w:p>
        </w:tc>
      </w:tr>
      <w:tr w14:paraId="769AB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0F072E4D">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消防广播</w:t>
            </w:r>
          </w:p>
        </w:tc>
        <w:tc>
          <w:tcPr>
            <w:tcW w:w="5437" w:type="dxa"/>
          </w:tcPr>
          <w:p w14:paraId="17241C1C">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检测消控室用话筒对所选区域播音功能正常</w:t>
            </w:r>
          </w:p>
        </w:tc>
        <w:tc>
          <w:tcPr>
            <w:tcW w:w="1267" w:type="dxa"/>
            <w:vAlign w:val="center"/>
          </w:tcPr>
          <w:p w14:paraId="315EC17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rPr>
              <w:t>每月一次</w:t>
            </w:r>
            <w:r>
              <w:rPr>
                <w:rFonts w:hint="eastAsia" w:asciiTheme="minorEastAsia" w:hAnsiTheme="minorEastAsia" w:eastAsiaTheme="minorEastAsia" w:cstheme="minorEastAsia"/>
                <w:b w:val="0"/>
                <w:bCs w:val="0"/>
                <w:color w:val="auto"/>
                <w:kern w:val="0"/>
                <w:sz w:val="22"/>
                <w:szCs w:val="22"/>
                <w:highlight w:val="none"/>
                <w:lang w:eastAsia="zh-CN"/>
              </w:rPr>
              <w:t>，</w:t>
            </w:r>
            <w:r>
              <w:rPr>
                <w:rFonts w:hint="eastAsia" w:asciiTheme="minorEastAsia" w:hAnsiTheme="minorEastAsia" w:eastAsiaTheme="minorEastAsia" w:cstheme="minorEastAsia"/>
                <w:b w:val="0"/>
                <w:bCs w:val="0"/>
                <w:color w:val="auto"/>
                <w:kern w:val="0"/>
                <w:sz w:val="22"/>
                <w:szCs w:val="22"/>
                <w:highlight w:val="none"/>
                <w:lang w:val="en-US" w:eastAsia="zh-CN"/>
              </w:rPr>
              <w:t>每年扬声器全数</w:t>
            </w:r>
          </w:p>
        </w:tc>
      </w:tr>
      <w:tr w14:paraId="6F1BD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4A4A55FE">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报警阀组</w:t>
            </w:r>
          </w:p>
        </w:tc>
        <w:tc>
          <w:tcPr>
            <w:tcW w:w="5437" w:type="dxa"/>
          </w:tcPr>
          <w:p w14:paraId="061C337A">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报警阀外观、标志牌、压力表完整。</w:t>
            </w:r>
          </w:p>
          <w:p w14:paraId="7EA113DE">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报警阀的压力表进行检查，要求报警前后压力表指示保持正常。</w:t>
            </w:r>
          </w:p>
          <w:p w14:paraId="71321A1F">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报警阀应进行开阀试验，观察阀门开启性能和密封性，以及报警阀各部件的工作状态保持正常。</w:t>
            </w:r>
          </w:p>
        </w:tc>
        <w:tc>
          <w:tcPr>
            <w:tcW w:w="1267" w:type="dxa"/>
            <w:vAlign w:val="center"/>
          </w:tcPr>
          <w:p w14:paraId="2F78EA29">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0B7F1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23228B31">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自动喷淋头及管道</w:t>
            </w:r>
          </w:p>
        </w:tc>
        <w:tc>
          <w:tcPr>
            <w:tcW w:w="5437" w:type="dxa"/>
          </w:tcPr>
          <w:p w14:paraId="7306E329">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检查喷头外观有无损坏、锈蚀、漏水现象。</w:t>
            </w:r>
          </w:p>
          <w:p w14:paraId="4D3FDD04">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检查管道有无机械损伤和锈蚀、油漆脱落，管道固定是否牢固、管内有无堵塞。</w:t>
            </w:r>
          </w:p>
          <w:p w14:paraId="48BC243B">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利用末端试水装置放水，进行水流指示器工作测试，同时排除管网内的铁锈及杂质。</w:t>
            </w:r>
          </w:p>
        </w:tc>
        <w:tc>
          <w:tcPr>
            <w:tcW w:w="1267" w:type="dxa"/>
            <w:vAlign w:val="center"/>
          </w:tcPr>
          <w:p w14:paraId="46C6DA43">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lang w:val="en-US" w:eastAsia="zh-CN"/>
              </w:rPr>
              <w:t>喷头每月不少于全数的10%，每年全数，其余</w:t>
            </w: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5416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14F95FEC">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电控柜</w:t>
            </w:r>
          </w:p>
        </w:tc>
        <w:tc>
          <w:tcPr>
            <w:tcW w:w="5437" w:type="dxa"/>
          </w:tcPr>
          <w:p w14:paraId="0224A76D">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检查控制柜有无变形、损伤、腐蚀。</w:t>
            </w:r>
          </w:p>
          <w:p w14:paraId="2C47483E">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检查线路图及操作说明是否齐全。</w:t>
            </w:r>
          </w:p>
          <w:p w14:paraId="2CCDCE5F">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检查电压、电流表指标是否在规定范围内。</w:t>
            </w:r>
          </w:p>
          <w:p w14:paraId="5DEB5D86">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开关是否有变形、损伤、标志脱落，处于正常状态，控制盘的指示灯是否正常。</w:t>
            </w:r>
          </w:p>
          <w:p w14:paraId="59D0EC20">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rPr>
              <w:t>检查电控柜内继电器是否脱落、松动，接点是否烧损，转换开关应处于自动状态。各导线链接是否松脱，绝缘是否损伤。</w:t>
            </w:r>
          </w:p>
          <w:p w14:paraId="22037A61">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6.</w:t>
            </w:r>
            <w:r>
              <w:rPr>
                <w:rFonts w:hint="eastAsia" w:asciiTheme="minorEastAsia" w:hAnsiTheme="minorEastAsia" w:eastAsiaTheme="minorEastAsia" w:cstheme="minorEastAsia"/>
                <w:b w:val="0"/>
                <w:bCs w:val="0"/>
                <w:color w:val="auto"/>
                <w:kern w:val="0"/>
                <w:sz w:val="22"/>
                <w:szCs w:val="22"/>
                <w:highlight w:val="none"/>
              </w:rPr>
              <w:t>查看自动切换启动备用泵情况，同时查看仪表及指示灯是否显示正常。</w:t>
            </w:r>
          </w:p>
        </w:tc>
        <w:tc>
          <w:tcPr>
            <w:tcW w:w="1267" w:type="dxa"/>
            <w:vAlign w:val="center"/>
          </w:tcPr>
          <w:p w14:paraId="1885A14B">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3E31C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0D9F1240">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消防管路系统</w:t>
            </w:r>
          </w:p>
        </w:tc>
        <w:tc>
          <w:tcPr>
            <w:tcW w:w="5437" w:type="dxa"/>
          </w:tcPr>
          <w:p w14:paraId="21C9AC85">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检测稳压泵的启动频率，确保启动频率正常。</w:t>
            </w:r>
          </w:p>
          <w:p w14:paraId="40EE9C61">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检查管道有无机械损伤、油漆脱落、锈蚀等</w:t>
            </w:r>
          </w:p>
          <w:p w14:paraId="7B42D5AB">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对不少于20％的管道末端进行防水，确保管道内的水质良好。</w:t>
            </w:r>
          </w:p>
          <w:p w14:paraId="0D3C8022">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对水流指示器的报警功能进行检查。</w:t>
            </w:r>
          </w:p>
        </w:tc>
        <w:tc>
          <w:tcPr>
            <w:tcW w:w="1267" w:type="dxa"/>
            <w:vAlign w:val="center"/>
          </w:tcPr>
          <w:p w14:paraId="2B378360">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18F87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553C0A4A">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稳压泵及气压水罐</w:t>
            </w:r>
          </w:p>
        </w:tc>
        <w:tc>
          <w:tcPr>
            <w:tcW w:w="5437" w:type="dxa"/>
          </w:tcPr>
          <w:p w14:paraId="140C7350">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检查是否能够自动加压。</w:t>
            </w:r>
          </w:p>
          <w:p w14:paraId="67C7E899">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打开试验排水阀，检查减水时能否自动供水，加压装置及供水装置压力表是否显示正常。</w:t>
            </w:r>
          </w:p>
        </w:tc>
        <w:tc>
          <w:tcPr>
            <w:tcW w:w="1267" w:type="dxa"/>
            <w:vAlign w:val="center"/>
          </w:tcPr>
          <w:p w14:paraId="1CAB7F92">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26A7E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6BE6D027">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消防水泵</w:t>
            </w:r>
          </w:p>
        </w:tc>
        <w:tc>
          <w:tcPr>
            <w:tcW w:w="5437" w:type="dxa"/>
          </w:tcPr>
          <w:p w14:paraId="169B2F95">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阀杆加注润滑油。</w:t>
            </w:r>
          </w:p>
          <w:p w14:paraId="049C4C53">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泵房控制柜处启动水泵，消防主机控制室启动水泵，运行及反馈信号。</w:t>
            </w:r>
          </w:p>
          <w:p w14:paraId="6AC08E59">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检查消防泵动力运行是否可靠，水泵能否正常运转，流量和压力能否保证，电力有无保证不间断供电设施，其性能是否良好。</w:t>
            </w:r>
          </w:p>
          <w:p w14:paraId="2108778F">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检查主、备泵能否自动切换。</w:t>
            </w:r>
          </w:p>
          <w:p w14:paraId="54AF91E8">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rPr>
              <w:t>检查压力表是否变形、水泵启动后动作是否正常。</w:t>
            </w:r>
          </w:p>
          <w:p w14:paraId="28430764">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6.</w:t>
            </w:r>
            <w:r>
              <w:rPr>
                <w:rFonts w:hint="eastAsia" w:asciiTheme="minorEastAsia" w:hAnsiTheme="minorEastAsia" w:eastAsiaTheme="minorEastAsia" w:cstheme="minorEastAsia"/>
                <w:b w:val="0"/>
                <w:bCs w:val="0"/>
                <w:color w:val="auto"/>
                <w:kern w:val="0"/>
                <w:sz w:val="22"/>
                <w:szCs w:val="22"/>
                <w:highlight w:val="none"/>
              </w:rPr>
              <w:t>启动水泵后，打开试验阀，观察压力保持情况。</w:t>
            </w:r>
          </w:p>
          <w:p w14:paraId="29C99B86">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7.</w:t>
            </w:r>
            <w:r>
              <w:rPr>
                <w:rFonts w:hint="eastAsia" w:asciiTheme="minorEastAsia" w:hAnsiTheme="minorEastAsia" w:eastAsiaTheme="minorEastAsia" w:cstheme="minorEastAsia"/>
                <w:b w:val="0"/>
                <w:bCs w:val="0"/>
                <w:color w:val="auto"/>
                <w:kern w:val="0"/>
                <w:sz w:val="22"/>
                <w:szCs w:val="22"/>
                <w:highlight w:val="none"/>
              </w:rPr>
              <w:t>对消防泵检修保养一次，添加润滑油。</w:t>
            </w:r>
          </w:p>
        </w:tc>
        <w:tc>
          <w:tcPr>
            <w:tcW w:w="1267" w:type="dxa"/>
            <w:vAlign w:val="center"/>
          </w:tcPr>
          <w:p w14:paraId="51BC75DA">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每月全数</w:t>
            </w:r>
          </w:p>
        </w:tc>
      </w:tr>
      <w:tr w14:paraId="04494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6A11D4EB">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水泵接合器</w:t>
            </w:r>
          </w:p>
        </w:tc>
        <w:tc>
          <w:tcPr>
            <w:tcW w:w="5437" w:type="dxa"/>
          </w:tcPr>
          <w:p w14:paraId="4CD6E118">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检查橡胶垫圈等密封件有无损坏、老化或丢失等情况。</w:t>
            </w:r>
          </w:p>
          <w:p w14:paraId="61D50651">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检查外表油漆有无脱落、锈蚀，如有及时修补。</w:t>
            </w:r>
          </w:p>
        </w:tc>
        <w:tc>
          <w:tcPr>
            <w:tcW w:w="1267" w:type="dxa"/>
            <w:vAlign w:val="center"/>
          </w:tcPr>
          <w:p w14:paraId="1A63CD63">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161A8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768B1EE0">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室内消火栓</w:t>
            </w:r>
          </w:p>
        </w:tc>
        <w:tc>
          <w:tcPr>
            <w:tcW w:w="5437" w:type="dxa"/>
          </w:tcPr>
          <w:p w14:paraId="138A8232">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消火栓供水阀不应有渗漏现象。</w:t>
            </w:r>
          </w:p>
          <w:p w14:paraId="67433D0A">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消防水枪、水带及全部附件齐全良好。</w:t>
            </w:r>
          </w:p>
          <w:p w14:paraId="29A412A5">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3.</w:t>
            </w:r>
            <w:r>
              <w:rPr>
                <w:rFonts w:hint="eastAsia" w:asciiTheme="minorEastAsia" w:hAnsiTheme="minorEastAsia" w:eastAsiaTheme="minorEastAsia" w:cstheme="minorEastAsia"/>
                <w:b w:val="0"/>
                <w:bCs w:val="0"/>
                <w:color w:val="auto"/>
                <w:kern w:val="0"/>
                <w:sz w:val="22"/>
                <w:szCs w:val="22"/>
                <w:highlight w:val="none"/>
              </w:rPr>
              <w:t>报警按钮指示灯及控制线路功能正常，无故障。</w:t>
            </w:r>
          </w:p>
          <w:p w14:paraId="349F0CF6">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4</w:t>
            </w:r>
            <w:r>
              <w:rPr>
                <w:rFonts w:hint="eastAsia" w:asciiTheme="minorEastAsia" w:hAnsiTheme="minorEastAsia" w:eastAsiaTheme="minorEastAsia" w:cstheme="minorEastAsia"/>
                <w:b w:val="0"/>
                <w:bCs w:val="0"/>
                <w:color w:val="auto"/>
                <w:kern w:val="0"/>
                <w:sz w:val="22"/>
                <w:szCs w:val="22"/>
                <w:highlight w:val="none"/>
              </w:rPr>
              <w:t>消火栓箱及箱内配装的消防部件的外观无破损、涂层无脱落、箱门玻璃完好无缺。</w:t>
            </w:r>
          </w:p>
          <w:p w14:paraId="5F60EBFD">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5.</w:t>
            </w:r>
            <w:r>
              <w:rPr>
                <w:rFonts w:hint="eastAsia" w:asciiTheme="minorEastAsia" w:hAnsiTheme="minorEastAsia" w:eastAsiaTheme="minorEastAsia" w:cstheme="minorEastAsia"/>
                <w:b w:val="0"/>
                <w:bCs w:val="0"/>
                <w:color w:val="auto"/>
                <w:kern w:val="0"/>
                <w:sz w:val="22"/>
                <w:szCs w:val="22"/>
                <w:highlight w:val="none"/>
              </w:rPr>
              <w:t>每月对各楼宇室内消火栓的静水水压进行检测，并出具水压检测记录报告。</w:t>
            </w:r>
          </w:p>
        </w:tc>
        <w:tc>
          <w:tcPr>
            <w:tcW w:w="1267" w:type="dxa"/>
            <w:vAlign w:val="center"/>
          </w:tcPr>
          <w:p w14:paraId="0D48C3F3">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6DF10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47A0A79B">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灭火器</w:t>
            </w:r>
          </w:p>
        </w:tc>
        <w:tc>
          <w:tcPr>
            <w:tcW w:w="5437" w:type="dxa"/>
          </w:tcPr>
          <w:p w14:paraId="7EA5063B">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检查灭火器安放位置是否正确。</w:t>
            </w:r>
          </w:p>
          <w:p w14:paraId="05EE84B5">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2.</w:t>
            </w:r>
            <w:r>
              <w:rPr>
                <w:rFonts w:hint="eastAsia" w:asciiTheme="minorEastAsia" w:hAnsiTheme="minorEastAsia" w:eastAsiaTheme="minorEastAsia" w:cstheme="minorEastAsia"/>
                <w:b w:val="0"/>
                <w:bCs w:val="0"/>
                <w:color w:val="auto"/>
                <w:kern w:val="0"/>
                <w:sz w:val="22"/>
                <w:szCs w:val="22"/>
                <w:highlight w:val="none"/>
              </w:rPr>
              <w:t>检查灭火器有无堵塞、失效、锈蚀、损坏、遗失，并填写巡检记录。</w:t>
            </w:r>
          </w:p>
        </w:tc>
        <w:tc>
          <w:tcPr>
            <w:tcW w:w="1267" w:type="dxa"/>
            <w:vAlign w:val="center"/>
          </w:tcPr>
          <w:p w14:paraId="7A58C49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r w14:paraId="68A0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3AD5B583">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rPr>
              <w:t>防排烟风机</w:t>
            </w:r>
          </w:p>
        </w:tc>
        <w:tc>
          <w:tcPr>
            <w:tcW w:w="5437" w:type="dxa"/>
            <w:vAlign w:val="top"/>
          </w:tcPr>
          <w:p w14:paraId="2942A9F3">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bidi="ar-SA"/>
              </w:rPr>
              <w:t>1.</w:t>
            </w:r>
            <w:r>
              <w:rPr>
                <w:rFonts w:hint="eastAsia" w:asciiTheme="minorEastAsia" w:hAnsiTheme="minorEastAsia" w:eastAsiaTheme="minorEastAsia" w:cstheme="minorEastAsia"/>
                <w:b w:val="0"/>
                <w:bCs w:val="0"/>
                <w:color w:val="auto"/>
                <w:kern w:val="0"/>
                <w:sz w:val="22"/>
                <w:szCs w:val="22"/>
                <w:highlight w:val="none"/>
                <w:lang w:val="en-US" w:eastAsia="zh-CN"/>
              </w:rPr>
              <w:t>送风机及控制柜外观及工作状态</w:t>
            </w:r>
          </w:p>
          <w:p w14:paraId="28BDFC83">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lang w:val="en-US" w:eastAsia="zh-CN"/>
              </w:rPr>
            </w:pPr>
            <w:r>
              <w:rPr>
                <w:rFonts w:hint="eastAsia" w:asciiTheme="minorEastAsia" w:hAnsiTheme="minorEastAsia" w:eastAsiaTheme="minorEastAsia" w:cstheme="minorEastAsia"/>
                <w:b w:val="0"/>
                <w:bCs w:val="0"/>
                <w:color w:val="auto"/>
                <w:kern w:val="0"/>
                <w:sz w:val="22"/>
                <w:szCs w:val="22"/>
                <w:highlight w:val="none"/>
                <w:lang w:val="en-US" w:eastAsia="zh-CN" w:bidi="ar-SA"/>
              </w:rPr>
              <w:t>2.</w:t>
            </w:r>
            <w:r>
              <w:rPr>
                <w:rFonts w:hint="eastAsia" w:asciiTheme="minorEastAsia" w:hAnsiTheme="minorEastAsia" w:eastAsiaTheme="minorEastAsia" w:cstheme="minorEastAsia"/>
                <w:b w:val="0"/>
                <w:bCs w:val="0"/>
                <w:color w:val="auto"/>
                <w:kern w:val="0"/>
                <w:sz w:val="22"/>
                <w:szCs w:val="22"/>
                <w:highlight w:val="none"/>
                <w:lang w:val="en-US" w:eastAsia="zh-CN"/>
              </w:rPr>
              <w:t>电动排烟阀、自然排烟设施外雇</w:t>
            </w:r>
          </w:p>
          <w:p w14:paraId="7E8F4299">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firstLine="0" w:firstLineChars="0"/>
              <w:jc w:val="left"/>
              <w:textAlignment w:val="auto"/>
              <w:rPr>
                <w:rFonts w:hint="default" w:asciiTheme="minorEastAsia" w:hAnsiTheme="minorEastAsia" w:eastAsiaTheme="minorEastAsia" w:cstheme="minorEastAsia"/>
                <w:b w:val="0"/>
                <w:bCs w:val="0"/>
                <w:color w:val="auto"/>
                <w:kern w:val="0"/>
                <w:sz w:val="22"/>
                <w:szCs w:val="22"/>
                <w:highlight w:val="none"/>
                <w:lang w:val="en-US" w:eastAsia="zh-CN"/>
              </w:rPr>
            </w:pPr>
            <w:r>
              <w:rPr>
                <w:rFonts w:hint="default" w:asciiTheme="minorEastAsia" w:hAnsiTheme="minorEastAsia" w:eastAsiaTheme="minorEastAsia" w:cstheme="minorEastAsia"/>
                <w:b w:val="0"/>
                <w:bCs w:val="0"/>
                <w:color w:val="auto"/>
                <w:kern w:val="0"/>
                <w:sz w:val="22"/>
                <w:szCs w:val="22"/>
                <w:highlight w:val="none"/>
                <w:lang w:val="en-US" w:eastAsia="zh-CN" w:bidi="ar-SA"/>
              </w:rPr>
              <w:t>3.</w:t>
            </w:r>
            <w:r>
              <w:rPr>
                <w:rFonts w:hint="eastAsia" w:asciiTheme="minorEastAsia" w:hAnsiTheme="minorEastAsia" w:eastAsiaTheme="minorEastAsia" w:cstheme="minorEastAsia"/>
                <w:b w:val="0"/>
                <w:bCs w:val="0"/>
                <w:color w:val="auto"/>
                <w:kern w:val="0"/>
                <w:sz w:val="22"/>
                <w:szCs w:val="22"/>
                <w:highlight w:val="none"/>
                <w:lang w:val="en-US" w:eastAsia="zh-CN"/>
              </w:rPr>
              <w:t>排烟机及控制柜外观及工作状态</w:t>
            </w:r>
          </w:p>
          <w:p w14:paraId="7AC8B530">
            <w:pPr>
              <w:keepNext w:val="0"/>
              <w:keepLines w:val="0"/>
              <w:pageBreakBefore w:val="0"/>
              <w:widowControl/>
              <w:numPr>
                <w:ilvl w:val="0"/>
                <w:numId w:val="0"/>
              </w:numPr>
              <w:kinsoku/>
              <w:wordWrap/>
              <w:overflowPunct/>
              <w:topLinePunct w:val="0"/>
              <w:autoSpaceDE/>
              <w:autoSpaceDN/>
              <w:bidi w:val="0"/>
              <w:adjustRightInd/>
              <w:snapToGrid w:val="0"/>
              <w:spacing w:line="420" w:lineRule="exact"/>
              <w:ind w:left="0" w:leftChars="0" w:firstLine="0" w:firstLineChars="0"/>
              <w:jc w:val="left"/>
              <w:textAlignment w:val="auto"/>
              <w:rPr>
                <w:rFonts w:hint="eastAsia" w:ascii="Times New Roman" w:hAnsi="Times New Roman" w:eastAsia="宋体" w:cs="Times New Roman"/>
                <w:color w:val="auto"/>
                <w:kern w:val="2"/>
                <w:sz w:val="21"/>
                <w:szCs w:val="24"/>
                <w:highlight w:val="none"/>
                <w:lang w:val="en-US" w:eastAsia="zh-CN" w:bidi="ar-SA"/>
              </w:rPr>
            </w:pPr>
            <w:r>
              <w:rPr>
                <w:rFonts w:hint="default" w:ascii="Times New Roman" w:hAnsi="Times New Roman" w:eastAsia="宋体" w:cs="Times New Roman"/>
                <w:color w:val="auto"/>
                <w:kern w:val="2"/>
                <w:sz w:val="21"/>
                <w:szCs w:val="24"/>
                <w:highlight w:val="none"/>
                <w:lang w:val="en-US" w:eastAsia="zh-CN" w:bidi="ar-SA"/>
              </w:rPr>
              <w:t>4.</w:t>
            </w:r>
            <w:r>
              <w:rPr>
                <w:rFonts w:hint="eastAsia" w:asciiTheme="minorEastAsia" w:hAnsiTheme="minorEastAsia" w:eastAsiaTheme="minorEastAsia" w:cstheme="minorEastAsia"/>
                <w:b w:val="0"/>
                <w:bCs w:val="0"/>
                <w:color w:val="auto"/>
                <w:kern w:val="0"/>
                <w:sz w:val="22"/>
                <w:szCs w:val="22"/>
                <w:highlight w:val="none"/>
                <w:lang w:val="en-US" w:eastAsia="zh-CN"/>
              </w:rPr>
              <w:t>送风、排烟机房环境</w:t>
            </w:r>
          </w:p>
        </w:tc>
        <w:tc>
          <w:tcPr>
            <w:tcW w:w="1267" w:type="dxa"/>
            <w:vAlign w:val="center"/>
          </w:tcPr>
          <w:p w14:paraId="633980BE">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val="en-US" w:eastAsia="zh-CN" w:bidi="ar-SA"/>
              </w:rPr>
            </w:pPr>
            <w:r>
              <w:rPr>
                <w:rFonts w:hint="eastAsia" w:asciiTheme="minorEastAsia" w:hAnsiTheme="minorEastAsia" w:eastAsiaTheme="minorEastAsia" w:cstheme="minorEastAsia"/>
                <w:b w:val="0"/>
                <w:bCs w:val="0"/>
                <w:color w:val="auto"/>
                <w:kern w:val="0"/>
                <w:sz w:val="22"/>
                <w:szCs w:val="22"/>
                <w:highlight w:val="none"/>
                <w:lang w:val="en-US" w:eastAsia="zh-CN"/>
              </w:rPr>
              <w:t>每月全数</w:t>
            </w:r>
          </w:p>
        </w:tc>
      </w:tr>
      <w:tr w14:paraId="023E6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8" w:type="dxa"/>
            <w:vAlign w:val="center"/>
          </w:tcPr>
          <w:p w14:paraId="290C7CCA">
            <w:pPr>
              <w:keepNext w:val="0"/>
              <w:keepLines w:val="0"/>
              <w:pageBreakBefore w:val="0"/>
              <w:widowControl/>
              <w:kinsoku/>
              <w:wordWrap/>
              <w:overflowPunct/>
              <w:topLinePunct w:val="0"/>
              <w:autoSpaceDE/>
              <w:autoSpaceDN/>
              <w:bidi w:val="0"/>
              <w:adjustRightInd/>
              <w:snapToGrid w:val="0"/>
              <w:spacing w:line="420" w:lineRule="exact"/>
              <w:ind w:firstLine="0" w:firstLineChars="0"/>
              <w:jc w:val="both"/>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rPr>
              <w:t>其它系统设施</w:t>
            </w:r>
          </w:p>
        </w:tc>
        <w:tc>
          <w:tcPr>
            <w:tcW w:w="5437" w:type="dxa"/>
          </w:tcPr>
          <w:p w14:paraId="182CF14F">
            <w:pPr>
              <w:keepNext w:val="0"/>
              <w:keepLines w:val="0"/>
              <w:pageBreakBefore w:val="0"/>
              <w:widowControl/>
              <w:kinsoku/>
              <w:wordWrap/>
              <w:overflowPunct/>
              <w:topLinePunct w:val="0"/>
              <w:autoSpaceDE/>
              <w:autoSpaceDN/>
              <w:bidi w:val="0"/>
              <w:adjustRightInd/>
              <w:snapToGrid w:val="0"/>
              <w:spacing w:line="420" w:lineRule="exact"/>
              <w:ind w:firstLine="0" w:firstLineChars="0"/>
              <w:jc w:val="left"/>
              <w:textAlignment w:val="auto"/>
              <w:rPr>
                <w:rFonts w:hint="eastAsia" w:asciiTheme="minorEastAsia" w:hAnsiTheme="minorEastAsia" w:eastAsiaTheme="minorEastAsia" w:cstheme="minorEastAsia"/>
                <w:b w:val="0"/>
                <w:bCs w:val="0"/>
                <w:color w:val="auto"/>
                <w:kern w:val="0"/>
                <w:sz w:val="22"/>
                <w:szCs w:val="22"/>
                <w:highlight w:val="none"/>
              </w:rPr>
            </w:pPr>
            <w:r>
              <w:rPr>
                <w:rFonts w:hint="eastAsia" w:asciiTheme="minorEastAsia" w:hAnsiTheme="minorEastAsia" w:eastAsiaTheme="minorEastAsia" w:cstheme="minorEastAsia"/>
                <w:b w:val="0"/>
                <w:bCs w:val="0"/>
                <w:color w:val="auto"/>
                <w:kern w:val="0"/>
                <w:sz w:val="22"/>
                <w:szCs w:val="22"/>
                <w:highlight w:val="none"/>
                <w:lang w:val="en-US" w:eastAsia="zh-CN"/>
              </w:rPr>
              <w:t>1</w:t>
            </w:r>
            <w:r>
              <w:rPr>
                <w:rFonts w:hint="eastAsia" w:asciiTheme="minorEastAsia" w:hAnsiTheme="minorEastAsia" w:eastAsiaTheme="minorEastAsia" w:cstheme="minorEastAsia"/>
                <w:b w:val="0"/>
                <w:bCs w:val="0"/>
                <w:color w:val="auto"/>
                <w:kern w:val="0"/>
                <w:sz w:val="22"/>
                <w:szCs w:val="22"/>
                <w:highlight w:val="none"/>
              </w:rPr>
              <w:t>按行业规范要求以及上级消防主管部门要求的消防重点单位平台信息更新。</w:t>
            </w:r>
          </w:p>
        </w:tc>
        <w:tc>
          <w:tcPr>
            <w:tcW w:w="1267" w:type="dxa"/>
            <w:vAlign w:val="center"/>
          </w:tcPr>
          <w:p w14:paraId="09908774">
            <w:pPr>
              <w:keepNext w:val="0"/>
              <w:keepLines w:val="0"/>
              <w:pageBreakBefore w:val="0"/>
              <w:widowControl/>
              <w:kinsoku/>
              <w:wordWrap/>
              <w:overflowPunct/>
              <w:topLinePunct w:val="0"/>
              <w:autoSpaceDE/>
              <w:autoSpaceDN/>
              <w:bidi w:val="0"/>
              <w:adjustRightInd/>
              <w:snapToGrid w:val="0"/>
              <w:spacing w:line="420" w:lineRule="exact"/>
              <w:ind w:firstLine="0" w:firstLineChars="0"/>
              <w:jc w:val="center"/>
              <w:textAlignment w:val="auto"/>
              <w:rPr>
                <w:rFonts w:hint="eastAsia" w:asciiTheme="minorEastAsia" w:hAnsiTheme="minorEastAsia" w:eastAsiaTheme="minorEastAsia" w:cstheme="minorEastAsia"/>
                <w:b w:val="0"/>
                <w:bCs w:val="0"/>
                <w:color w:val="auto"/>
                <w:kern w:val="0"/>
                <w:sz w:val="22"/>
                <w:szCs w:val="22"/>
                <w:highlight w:val="none"/>
                <w:lang w:eastAsia="zh-CN"/>
              </w:rPr>
            </w:pPr>
            <w:r>
              <w:rPr>
                <w:rFonts w:hint="eastAsia" w:asciiTheme="minorEastAsia" w:hAnsiTheme="minorEastAsia" w:eastAsiaTheme="minorEastAsia" w:cstheme="minorEastAsia"/>
                <w:b w:val="0"/>
                <w:bCs w:val="0"/>
                <w:color w:val="auto"/>
                <w:kern w:val="0"/>
                <w:sz w:val="22"/>
                <w:szCs w:val="22"/>
                <w:highlight w:val="none"/>
              </w:rPr>
              <w:t>每月</w:t>
            </w:r>
            <w:r>
              <w:rPr>
                <w:rFonts w:hint="eastAsia" w:asciiTheme="minorEastAsia" w:hAnsiTheme="minorEastAsia" w:eastAsiaTheme="minorEastAsia" w:cstheme="minorEastAsia"/>
                <w:b w:val="0"/>
                <w:bCs w:val="0"/>
                <w:color w:val="auto"/>
                <w:kern w:val="0"/>
                <w:sz w:val="22"/>
                <w:szCs w:val="22"/>
                <w:highlight w:val="none"/>
                <w:lang w:val="en-US" w:eastAsia="zh-CN"/>
              </w:rPr>
              <w:t>全数</w:t>
            </w:r>
          </w:p>
        </w:tc>
      </w:tr>
    </w:tbl>
    <w:p w14:paraId="7C4FF141">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2．故障突击抢修</w:t>
      </w:r>
    </w:p>
    <w:p w14:paraId="555AF30D">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当乙方接到故障抢修通知后，应在1小时内派人员到达现场对该故障进行排除。一般故障应该立即排除，严重故障维保方应增加技术力量在24小时内修复，外送修理设施设备7日内完成修复（消防主机经常性需要更换的消防配件，有备件的情况下，必须在6小时之内更换到位），修复期间采取应急安全封闭和安全管理措施，同时书面报保卫处备案。</w:t>
      </w:r>
    </w:p>
    <w:p w14:paraId="123793CD">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3．巡查、检测技术人员要求</w:t>
      </w:r>
    </w:p>
    <w:p w14:paraId="40BFA239">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（1）须指派项目负责人、技术负责人各1名。</w:t>
      </w:r>
    </w:p>
    <w:p w14:paraId="69B11BB3">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2）须派驻一名应通过消防行业特有工种职业技能鉴定、持有中级技能及以上消防设施操作员证书（职业方向为消防设施检测维修保养）的人员驻校并服从招标人管理。驻校人员主要负责消防设备、器材（如：灭火器（箱）、水带、消防栓（框）、各类消防灯具等）日常检查（通过扫描江苏省社会单位消防安全管理系统的二维码及填写点检卡完成），对于灭火器、水带、消火栓（框）、各类灯具等出现损坏时负责更换和维修工作。辅助校方完成临时消防工作任务。驻校工作时间为工作日8:00-17:00,突发情况随叫随到。</w:t>
      </w:r>
    </w:p>
    <w:p w14:paraId="6B2D6260">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招标人提供驻校人员维修或更换时所需的消防器材配件。如遇消防系统突发损坏，需要及时修复且驻校人员1人无法及时修复的，招标人可参照市场标准每工300元/天要求中标人增设维修人员帮助完成修复工作（增设人力补助产生的费用由招标人支付）。</w:t>
      </w:r>
    </w:p>
    <w:p w14:paraId="04D21A27">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3）须安排4名或以上通过消防行业特有工种职业技能鉴定、持有中级技能及以上等级职业资格证书（不得包含驻校人员）维保技术人员每月对维保范围内的所有消防系统进行一次全面系统检测和常规保养，对故障进行原因排查与解决处理方案并出具每月维保检测报告书（内容必须对应上一月报告书所涉及需要维修落实情况说明）。每季度出具单位消防系统检测报告书，同时每季度完成一次向总消控室管理值班人员提供操作培训与技术咨询服务。年终出具单位消防系统年度检测报告书。</w:t>
      </w:r>
    </w:p>
    <w:p w14:paraId="3CB16A69">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（4）结论文件</w:t>
      </w:r>
    </w:p>
    <w:p w14:paraId="34717413">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中标人应根据每月消防设施维护保养任务完成情况，形成书面建筑消防设施维护保养月度报告。将12个月作为一个维护保养服务周期，第12个月应对建筑消防设施运行状态进行全面总结和评估，形成年度报告。具体要求见《建筑消防设施维护保养规程》（DB32/T 4696-2024）中“8.5结论文件”。</w:t>
      </w:r>
    </w:p>
    <w:p w14:paraId="2841F968">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4．其它要求</w:t>
      </w:r>
    </w:p>
    <w:p w14:paraId="48B844E7">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（1）因重大节日、活动消防安全需要，配合校方对消防设施进行检测和消防检查、消防培训，以及其它相关工作。做好消防设施资料建档工作，及时更新台帐资料。</w:t>
      </w:r>
    </w:p>
    <w:p w14:paraId="604CBB4A">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2）每月月初之前，将上月度巡查、检测记录报保卫处备案。《建筑消防设施巡查记录表》《建筑消防设施检测记录表》应由巡查、检测人员签字和维保单位盖章。巡查、检测人员和维保单位应认真完成巡查、检测工作，并对出具的《建筑消防设施巡查记录表》《建筑消防设施检测记录表》负法律责任。</w:t>
      </w:r>
    </w:p>
    <w:p w14:paraId="0700B723">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5．《智慧消防综合管理平台》及《江苏省社会单位消防安全管理系统》的日常维护与使用</w:t>
      </w:r>
    </w:p>
    <w:p w14:paraId="48E29493">
      <w:p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每天上班后驻校人员查看两个平台系统运行情况，处理平台系统上出现的各类报警，确保消防系统正常运行。如平台系统及属于各类设备出现故障，负责与平台供应商对接处理故障。如属于硬件故障，由招标人采购该硬件设备后负责配合安装。服务期内，招标人可能在《智慧消防综合管理平台》上新增功能或设备，中标人应无条件纳入日常维护与使用。</w:t>
      </w:r>
    </w:p>
    <w:p w14:paraId="15952B1D">
      <w:pPr>
        <w:spacing w:line="360" w:lineRule="auto"/>
        <w:ind w:firstLine="480" w:firstLineChars="200"/>
        <w:rPr>
          <w:rFonts w:ascii="宋体" w:hAnsi="宋体"/>
          <w:color w:val="auto"/>
          <w:sz w:val="24"/>
          <w:highlight w:val="none"/>
        </w:rPr>
      </w:pPr>
      <w:r>
        <w:rPr>
          <w:rFonts w:hint="eastAsia" w:ascii="宋体" w:hAnsi="宋体" w:eastAsiaTheme="minorEastAsia" w:cstheme="minorBidi"/>
          <w:color w:val="auto"/>
          <w:kern w:val="2"/>
          <w:sz w:val="24"/>
          <w:szCs w:val="22"/>
          <w:highlight w:val="none"/>
          <w:lang w:val="en-US" w:eastAsia="zh-CN" w:bidi="ar-SA"/>
        </w:rPr>
        <w:t>6．合同签订之日起两个月内，安排专人完成招标人所有楼宇与消防相关的所有水、电、消防设施设备施工图纸重新整理、绘制，并形成档案，整理的施工图档案必须符合《江苏省社会单位消防安全管理系统》中对相关数据的要求，并在该系统中上传该档案。根据招标人的要求绘制校内楼宇的消防疏散引导图。</w:t>
      </w:r>
      <w:r>
        <w:rPr>
          <w:rFonts w:hint="eastAsia" w:ascii="宋体" w:hAnsi="宋体"/>
          <w:color w:val="auto"/>
          <w:sz w:val="24"/>
          <w:highlight w:val="none"/>
          <w:lang w:val="en-US" w:eastAsia="zh-CN"/>
        </w:rPr>
        <w:t>五</w:t>
      </w:r>
      <w:r>
        <w:rPr>
          <w:rFonts w:hint="eastAsia" w:ascii="宋体" w:hAnsi="宋体"/>
          <w:color w:val="auto"/>
          <w:sz w:val="24"/>
          <w:highlight w:val="none"/>
        </w:rPr>
        <w:t>、甲方的权利、义务：</w:t>
      </w:r>
    </w:p>
    <w:p w14:paraId="7585D025">
      <w:pPr>
        <w:spacing w:line="360" w:lineRule="auto"/>
        <w:ind w:firstLine="463" w:firstLineChars="193"/>
        <w:rPr>
          <w:rFonts w:ascii="宋体" w:hAnsi="宋体"/>
          <w:color w:val="auto"/>
          <w:sz w:val="24"/>
          <w:highlight w:val="none"/>
        </w:rPr>
      </w:pPr>
      <w:r>
        <w:rPr>
          <w:rFonts w:hint="eastAsia" w:ascii="宋体" w:hAnsi="宋体"/>
          <w:color w:val="auto"/>
          <w:sz w:val="24"/>
          <w:highlight w:val="none"/>
        </w:rPr>
        <w:t>1、</w:t>
      </w:r>
      <w:r>
        <w:rPr>
          <w:rFonts w:hint="eastAsia" w:ascii="宋体" w:hAnsi="宋体" w:cs="仿宋_GB2312"/>
          <w:color w:val="auto"/>
          <w:sz w:val="24"/>
          <w:highlight w:val="none"/>
        </w:rPr>
        <w:t>有权核查乙方维修保养机构资质证书和现场维修保养人员执业资格证书。</w:t>
      </w:r>
    </w:p>
    <w:p w14:paraId="349E9166">
      <w:pPr>
        <w:spacing w:line="360" w:lineRule="auto"/>
        <w:ind w:firstLine="463" w:firstLineChars="193"/>
        <w:rPr>
          <w:rFonts w:ascii="宋体" w:hAnsi="宋体"/>
          <w:color w:val="auto"/>
          <w:sz w:val="24"/>
          <w:highlight w:val="none"/>
        </w:rPr>
      </w:pPr>
      <w:r>
        <w:rPr>
          <w:rFonts w:hint="eastAsia" w:ascii="宋体" w:hAnsi="宋体"/>
          <w:color w:val="auto"/>
          <w:sz w:val="24"/>
          <w:highlight w:val="none"/>
        </w:rPr>
        <w:t>2、按规定配备值班和管理人员，落实值班和管理措施。</w:t>
      </w:r>
    </w:p>
    <w:p w14:paraId="1249406D">
      <w:pPr>
        <w:spacing w:line="360" w:lineRule="auto"/>
        <w:ind w:firstLine="463" w:firstLineChars="193"/>
        <w:rPr>
          <w:rFonts w:ascii="宋体" w:hAnsi="宋体"/>
          <w:color w:val="auto"/>
          <w:sz w:val="24"/>
          <w:highlight w:val="none"/>
        </w:rPr>
      </w:pPr>
      <w:r>
        <w:rPr>
          <w:rFonts w:hint="eastAsia" w:ascii="宋体" w:hAnsi="宋体"/>
          <w:color w:val="auto"/>
          <w:sz w:val="24"/>
          <w:highlight w:val="none"/>
        </w:rPr>
        <w:t>3、掌握建筑消防设施的使用、操作规程，发现消防设施存在问题和故障及时通知乙方修复。</w:t>
      </w:r>
    </w:p>
    <w:p w14:paraId="3B013712">
      <w:pPr>
        <w:spacing w:line="360" w:lineRule="auto"/>
        <w:ind w:firstLine="463" w:firstLineChars="193"/>
        <w:rPr>
          <w:rFonts w:ascii="宋体" w:hAnsi="宋体"/>
          <w:color w:val="auto"/>
          <w:sz w:val="24"/>
          <w:highlight w:val="none"/>
        </w:rPr>
      </w:pPr>
      <w:r>
        <w:rPr>
          <w:rFonts w:hint="eastAsia" w:ascii="宋体" w:hAnsi="宋体"/>
          <w:color w:val="auto"/>
          <w:sz w:val="24"/>
          <w:highlight w:val="none"/>
        </w:rPr>
        <w:t>4、对乙方不按规定履行职责，在维修保养、每季检查测试中弄虚作假或严重不负责任的，有权解除维修保养合同。</w:t>
      </w:r>
    </w:p>
    <w:p w14:paraId="50D947BC">
      <w:pPr>
        <w:spacing w:line="360" w:lineRule="auto"/>
        <w:ind w:firstLine="463" w:firstLineChars="193"/>
        <w:rPr>
          <w:rFonts w:ascii="宋体" w:hAnsi="宋体"/>
          <w:color w:val="auto"/>
          <w:sz w:val="24"/>
          <w:highlight w:val="none"/>
        </w:rPr>
      </w:pPr>
      <w:r>
        <w:rPr>
          <w:rFonts w:hint="eastAsia" w:ascii="宋体" w:hAnsi="宋体"/>
          <w:color w:val="auto"/>
          <w:sz w:val="24"/>
          <w:highlight w:val="none"/>
        </w:rPr>
        <w:t>6、维修保养期限届满前三十日内，甲方应当明确是否继续与乙方签订维保合同，甲方不明示视为自动延续签订维保合同。</w:t>
      </w:r>
    </w:p>
    <w:p w14:paraId="096386A7">
      <w:pPr>
        <w:spacing w:line="360" w:lineRule="auto"/>
        <w:ind w:firstLine="463" w:firstLineChars="193"/>
        <w:rPr>
          <w:rFonts w:ascii="宋体" w:hAnsi="宋体"/>
          <w:color w:val="auto"/>
          <w:sz w:val="24"/>
          <w:highlight w:val="none"/>
        </w:rPr>
      </w:pPr>
      <w:r>
        <w:rPr>
          <w:rFonts w:hint="eastAsia" w:ascii="宋体" w:hAnsi="宋体"/>
          <w:color w:val="auto"/>
          <w:sz w:val="24"/>
          <w:highlight w:val="none"/>
        </w:rPr>
        <w:t>7、及时按约定支付消防维保费用。</w:t>
      </w:r>
    </w:p>
    <w:p w14:paraId="269B17BD">
      <w:pPr>
        <w:spacing w:line="360" w:lineRule="auto"/>
        <w:ind w:firstLine="463" w:firstLineChars="193"/>
        <w:rPr>
          <w:rFonts w:ascii="宋体" w:hAnsi="宋体"/>
          <w:color w:val="auto"/>
          <w:sz w:val="24"/>
          <w:highlight w:val="none"/>
        </w:rPr>
      </w:pPr>
      <w:r>
        <w:rPr>
          <w:rFonts w:hint="eastAsia" w:ascii="宋体" w:hAnsi="宋体"/>
          <w:color w:val="auto"/>
          <w:sz w:val="24"/>
          <w:highlight w:val="none"/>
        </w:rPr>
        <w:t>8、甲方指定</w:t>
      </w:r>
      <w:r>
        <w:rPr>
          <w:rFonts w:hint="eastAsia" w:ascii="宋体" w:hAnsi="宋体"/>
          <w:color w:val="auto"/>
          <w:sz w:val="24"/>
          <w:highlight w:val="none"/>
          <w:u w:val="single"/>
        </w:rPr>
        <w:t xml:space="preserve">       </w:t>
      </w:r>
      <w:r>
        <w:rPr>
          <w:rFonts w:hint="eastAsia" w:ascii="宋体" w:hAnsi="宋体"/>
          <w:color w:val="auto"/>
          <w:sz w:val="24"/>
          <w:highlight w:val="none"/>
        </w:rPr>
        <w:t>为现场配合人员，联系电话：</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08D77493">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六</w:t>
      </w:r>
      <w:r>
        <w:rPr>
          <w:rFonts w:hint="eastAsia" w:ascii="宋体" w:hAnsi="宋体"/>
          <w:color w:val="auto"/>
          <w:sz w:val="24"/>
          <w:highlight w:val="none"/>
        </w:rPr>
        <w:t>、乙方的权利、义务：</w:t>
      </w:r>
    </w:p>
    <w:p w14:paraId="40EB1A1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s="仿宋_GB2312"/>
          <w:color w:val="auto"/>
          <w:sz w:val="24"/>
          <w:highlight w:val="none"/>
        </w:rPr>
        <w:t>具备消防设施维修保养的相应资质、资格，依照法律法规、技术标准和执业准则，开展建筑消防设施维修保养技术服务活动，对维修保养质量负责。</w:t>
      </w:r>
    </w:p>
    <w:p w14:paraId="72569882">
      <w:pPr>
        <w:spacing w:line="360" w:lineRule="auto"/>
        <w:ind w:firstLine="480" w:firstLineChars="200"/>
        <w:jc w:val="left"/>
        <w:rPr>
          <w:rFonts w:ascii="宋体" w:hAnsi="宋体"/>
          <w:color w:val="auto"/>
          <w:kern w:val="0"/>
          <w:sz w:val="24"/>
          <w:highlight w:val="none"/>
        </w:rPr>
      </w:pPr>
      <w:r>
        <w:rPr>
          <w:rFonts w:hint="eastAsia" w:ascii="宋体" w:hAnsi="宋体" w:cs="仿宋_GB2312"/>
          <w:color w:val="auto"/>
          <w:sz w:val="24"/>
          <w:highlight w:val="none"/>
          <w:lang w:val="en-US" w:eastAsia="zh-CN"/>
        </w:rPr>
        <w:t>2</w:t>
      </w:r>
      <w:r>
        <w:rPr>
          <w:rFonts w:hint="eastAsia" w:ascii="宋体" w:hAnsi="宋体" w:cs="仿宋_GB2312"/>
          <w:color w:val="auto"/>
          <w:sz w:val="24"/>
          <w:highlight w:val="none"/>
        </w:rPr>
        <w:t>、</w:t>
      </w:r>
      <w:r>
        <w:rPr>
          <w:rFonts w:hint="eastAsia" w:ascii="宋体" w:hAnsi="宋体"/>
          <w:b/>
          <w:color w:val="auto"/>
          <w:sz w:val="24"/>
          <w:highlight w:val="none"/>
        </w:rPr>
        <w:t>乙方委派驻校人员主要承担</w:t>
      </w:r>
      <w:r>
        <w:rPr>
          <w:rFonts w:hint="eastAsia" w:ascii="宋体" w:hAnsi="宋体"/>
          <w:color w:val="auto"/>
          <w:sz w:val="24"/>
          <w:highlight w:val="none"/>
        </w:rPr>
        <w:t>项目消防设备、器材（如：灭火器、消防控制主机、手动报警按钮</w:t>
      </w:r>
      <w:r>
        <w:rPr>
          <w:rFonts w:hint="eastAsia" w:ascii="宋体" w:hAnsi="宋体"/>
          <w:color w:val="auto"/>
          <w:sz w:val="24"/>
          <w:highlight w:val="none"/>
          <w:lang w:eastAsia="zh-CN"/>
        </w:rPr>
        <w:t>、报警阀组</w:t>
      </w:r>
      <w:r>
        <w:rPr>
          <w:rFonts w:hint="eastAsia" w:ascii="宋体" w:hAnsi="宋体"/>
          <w:color w:val="auto"/>
          <w:sz w:val="24"/>
          <w:highlight w:val="none"/>
        </w:rPr>
        <w:t>等）日常检查、维护、更换和维修工作。辅助甲方完成临时消防工作任务（工作日8:00-17:00,突发情况随叫随到）。</w:t>
      </w:r>
    </w:p>
    <w:p w14:paraId="706B505C">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3</w:t>
      </w:r>
      <w:r>
        <w:rPr>
          <w:rFonts w:hint="eastAsia" w:ascii="宋体" w:hAnsi="宋体"/>
          <w:color w:val="auto"/>
          <w:sz w:val="24"/>
          <w:highlight w:val="none"/>
        </w:rPr>
        <w:t>、乙方须配备一定数量的备品备件用于及时更换。</w:t>
      </w:r>
    </w:p>
    <w:p w14:paraId="0685E5FA">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、负责对甲方消防值班或者管理人员进行专业技术指导。</w:t>
      </w:r>
    </w:p>
    <w:p w14:paraId="1042AE6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、负责为招标方建立健全和管理并维护好法律法规及政府要求的消防档案</w:t>
      </w:r>
    </w:p>
    <w:p w14:paraId="197E321F">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w:t>
      </w:r>
      <w:r>
        <w:rPr>
          <w:rFonts w:hint="eastAsia" w:ascii="宋体" w:hAnsi="宋体"/>
          <w:color w:val="auto"/>
          <w:sz w:val="24"/>
          <w:highlight w:val="none"/>
        </w:rPr>
        <w:t>乙方指定</w:t>
      </w:r>
      <w:r>
        <w:rPr>
          <w:rFonts w:hint="eastAsia" w:ascii="宋体" w:hAnsi="宋体"/>
          <w:color w:val="auto"/>
          <w:sz w:val="24"/>
          <w:highlight w:val="none"/>
          <w:u w:val="single"/>
        </w:rPr>
        <w:t xml:space="preserve">        </w:t>
      </w:r>
      <w:r>
        <w:rPr>
          <w:rFonts w:hint="eastAsia" w:ascii="宋体" w:hAnsi="宋体"/>
          <w:color w:val="auto"/>
          <w:sz w:val="24"/>
          <w:highlight w:val="none"/>
        </w:rPr>
        <w:t>负责维保联络工作，联系电话：</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 xml:space="preserve">  </w:t>
      </w:r>
      <w:r>
        <w:rPr>
          <w:rFonts w:hint="eastAsia" w:ascii="宋体" w:hAnsi="宋体"/>
          <w:color w:val="auto"/>
          <w:sz w:val="24"/>
          <w:highlight w:val="none"/>
        </w:rPr>
        <w:t>。</w:t>
      </w:r>
    </w:p>
    <w:p w14:paraId="6CB323CB">
      <w:pPr>
        <w:spacing w:line="360" w:lineRule="auto"/>
        <w:ind w:firstLine="361" w:firstLineChars="150"/>
        <w:rPr>
          <w:rFonts w:ascii="宋体" w:hAnsi="宋体"/>
          <w:b/>
          <w:color w:val="auto"/>
          <w:sz w:val="24"/>
          <w:highlight w:val="none"/>
        </w:rPr>
      </w:pPr>
      <w:r>
        <w:rPr>
          <w:rFonts w:hint="eastAsia" w:ascii="宋体" w:hAnsi="宋体"/>
          <w:b/>
          <w:color w:val="auto"/>
          <w:sz w:val="24"/>
          <w:highlight w:val="none"/>
          <w:lang w:val="en-US" w:eastAsia="zh-CN"/>
        </w:rPr>
        <w:t>七</w:t>
      </w:r>
      <w:r>
        <w:rPr>
          <w:rFonts w:hint="eastAsia" w:ascii="宋体" w:hAnsi="宋体"/>
          <w:b/>
          <w:color w:val="auto"/>
          <w:sz w:val="24"/>
          <w:highlight w:val="none"/>
        </w:rPr>
        <w:t>、维保费用及支付方式、期限：</w:t>
      </w:r>
    </w:p>
    <w:p w14:paraId="72C9486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w:t>
      </w:r>
      <w:r>
        <w:rPr>
          <w:rFonts w:hint="eastAsia" w:ascii="宋体" w:hAnsi="宋体"/>
          <w:color w:val="auto"/>
          <w:sz w:val="24"/>
          <w:highlight w:val="none"/>
          <w:lang w:val="en-US" w:eastAsia="zh-CN"/>
        </w:rPr>
        <w:t>壹</w:t>
      </w:r>
      <w:r>
        <w:rPr>
          <w:rFonts w:hint="eastAsia" w:ascii="宋体" w:hAnsi="宋体"/>
          <w:color w:val="auto"/>
          <w:sz w:val="24"/>
          <w:highlight w:val="none"/>
        </w:rPr>
        <w:t>年维护保养费为人民币：</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大写：          </w:t>
      </w:r>
      <w:r>
        <w:rPr>
          <w:rFonts w:hint="eastAsia" w:ascii="宋体" w:hAnsi="宋体"/>
          <w:color w:val="auto"/>
          <w:sz w:val="24"/>
          <w:highlight w:val="none"/>
          <w:u w:val="single"/>
          <w:lang w:eastAsia="zh-CN"/>
        </w:rPr>
        <w:t>元整（</w:t>
      </w:r>
      <w:r>
        <w:rPr>
          <w:rFonts w:hint="eastAsia" w:ascii="宋体" w:hAnsi="宋体"/>
          <w:color w:val="auto"/>
          <w:sz w:val="24"/>
          <w:highlight w:val="none"/>
          <w:u w:val="single"/>
          <w:lang w:val="en-US" w:eastAsia="zh-CN"/>
        </w:rPr>
        <w:t xml:space="preserve"> 小写：       元</w:t>
      </w:r>
      <w:r>
        <w:rPr>
          <w:rFonts w:hint="eastAsia" w:ascii="宋体" w:hAnsi="宋体"/>
          <w:color w:val="auto"/>
          <w:sz w:val="24"/>
          <w:highlight w:val="none"/>
          <w:u w:val="single"/>
          <w:lang w:eastAsia="zh-CN"/>
        </w:rPr>
        <w:t>）</w:t>
      </w:r>
      <w:r>
        <w:rPr>
          <w:rFonts w:hint="eastAsia" w:ascii="宋体" w:hAnsi="宋体"/>
          <w:color w:val="auto"/>
          <w:sz w:val="24"/>
          <w:highlight w:val="none"/>
          <w:u w:val="single"/>
        </w:rPr>
        <w:t xml:space="preserve">       </w:t>
      </w:r>
    </w:p>
    <w:p w14:paraId="08FC49C4">
      <w:pPr>
        <w:keepNext w:val="0"/>
        <w:keepLines w:val="0"/>
        <w:pageBreakBefore w:val="0"/>
        <w:kinsoku/>
        <w:overflowPunct/>
        <w:topLinePunct w:val="0"/>
        <w:bidi w:val="0"/>
        <w:snapToGrid w:val="0"/>
        <w:spacing w:line="460" w:lineRule="exact"/>
        <w:ind w:firstLine="480" w:firstLineChars="200"/>
        <w:textAlignment w:val="auto"/>
        <w:outlineLvl w:val="0"/>
        <w:rPr>
          <w:rFonts w:hint="eastAsia" w:ascii="宋体" w:hAnsi="宋体"/>
          <w:color w:val="auto"/>
          <w:sz w:val="24"/>
          <w:highlight w:val="none"/>
        </w:rPr>
      </w:pPr>
      <w:r>
        <w:rPr>
          <w:rFonts w:hint="eastAsia" w:ascii="宋体" w:hAnsi="宋体"/>
          <w:color w:val="auto"/>
          <w:sz w:val="24"/>
          <w:highlight w:val="none"/>
        </w:rPr>
        <w:t>2、付款方式：</w:t>
      </w:r>
    </w:p>
    <w:p w14:paraId="19499C73">
      <w:pPr>
        <w:keepNext w:val="0"/>
        <w:keepLines w:val="0"/>
        <w:pageBreakBefore w:val="0"/>
        <w:kinsoku/>
        <w:overflowPunct/>
        <w:topLinePunct w:val="0"/>
        <w:bidi w:val="0"/>
        <w:snapToGrid w:val="0"/>
        <w:spacing w:line="460" w:lineRule="exact"/>
        <w:ind w:firstLine="480" w:firstLineChars="200"/>
        <w:textAlignment w:val="auto"/>
        <w:outlineLvl w:val="0"/>
        <w:rPr>
          <w:rFonts w:hint="eastAsia" w:ascii="宋体" w:hAnsi="宋体"/>
          <w:color w:val="auto"/>
          <w:sz w:val="24"/>
          <w:highlight w:val="none"/>
        </w:rPr>
      </w:pPr>
      <w:r>
        <w:rPr>
          <w:rFonts w:hint="eastAsia" w:ascii="宋体" w:hAnsi="宋体"/>
          <w:color w:val="auto"/>
          <w:sz w:val="24"/>
          <w:highlight w:val="none"/>
          <w:lang w:val="en-US" w:eastAsia="zh-CN"/>
        </w:rPr>
        <w:t>2.1</w:t>
      </w:r>
      <w:r>
        <w:rPr>
          <w:rFonts w:hint="eastAsia" w:ascii="宋体" w:hAnsi="宋体"/>
          <w:color w:val="auto"/>
          <w:sz w:val="24"/>
          <w:highlight w:val="none"/>
        </w:rPr>
        <w:t>签订合同预付合同金额（年度消防维保服务费用）的30％；</w:t>
      </w:r>
    </w:p>
    <w:p w14:paraId="3D19CF37">
      <w:pPr>
        <w:keepNext w:val="0"/>
        <w:keepLines w:val="0"/>
        <w:pageBreakBefore w:val="0"/>
        <w:kinsoku/>
        <w:overflowPunct/>
        <w:topLinePunct w:val="0"/>
        <w:bidi w:val="0"/>
        <w:snapToGrid w:val="0"/>
        <w:spacing w:line="460" w:lineRule="exact"/>
        <w:ind w:firstLine="480" w:firstLineChars="200"/>
        <w:textAlignment w:val="auto"/>
        <w:outlineLvl w:val="0"/>
        <w:rPr>
          <w:rFonts w:hint="eastAsia" w:ascii="宋体" w:hAnsi="宋体" w:eastAsia="宋体"/>
          <w:color w:val="auto"/>
          <w:sz w:val="24"/>
          <w:highlight w:val="none"/>
          <w:lang w:eastAsia="zh-CN"/>
        </w:rPr>
      </w:pPr>
      <w:r>
        <w:rPr>
          <w:rFonts w:hint="eastAsia" w:ascii="宋体" w:hAnsi="宋体"/>
          <w:color w:val="auto"/>
          <w:sz w:val="24"/>
          <w:highlight w:val="none"/>
          <w:lang w:val="en-US" w:eastAsia="zh-CN"/>
        </w:rPr>
        <w:t>2.2</w:t>
      </w:r>
      <w:r>
        <w:rPr>
          <w:rFonts w:hint="eastAsia" w:ascii="宋体" w:hAnsi="宋体"/>
          <w:color w:val="auto"/>
          <w:sz w:val="24"/>
          <w:highlight w:val="none"/>
        </w:rPr>
        <w:t>完成</w:t>
      </w:r>
      <w:r>
        <w:rPr>
          <w:rFonts w:hint="eastAsia" w:ascii="宋体" w:hAnsi="宋体"/>
          <w:color w:val="auto"/>
          <w:sz w:val="24"/>
          <w:highlight w:val="none"/>
          <w:lang w:eastAsia="zh-CN"/>
        </w:rPr>
        <w:t>甲方</w:t>
      </w:r>
      <w:r>
        <w:rPr>
          <w:rFonts w:hint="eastAsia" w:ascii="宋体" w:hAnsi="宋体"/>
          <w:color w:val="auto"/>
          <w:sz w:val="24"/>
          <w:highlight w:val="none"/>
        </w:rPr>
        <w:t>要求的消防维保服务事项，</w:t>
      </w:r>
      <w:r>
        <w:rPr>
          <w:rFonts w:hint="eastAsia" w:ascii="宋体" w:hAnsi="宋体"/>
          <w:color w:val="auto"/>
          <w:sz w:val="24"/>
          <w:highlight w:val="none"/>
          <w:lang w:val="en-US" w:eastAsia="zh-CN"/>
        </w:rPr>
        <w:t>半年</w:t>
      </w:r>
      <w:r>
        <w:rPr>
          <w:rFonts w:hint="eastAsia" w:ascii="宋体" w:hAnsi="宋体"/>
          <w:color w:val="auto"/>
          <w:sz w:val="24"/>
          <w:highlight w:val="none"/>
        </w:rPr>
        <w:t>支付合同金额（年度消防维保服务费用）</w:t>
      </w:r>
      <w:r>
        <w:rPr>
          <w:rFonts w:hint="eastAsia" w:ascii="宋体" w:hAnsi="宋体"/>
          <w:color w:val="auto"/>
          <w:sz w:val="24"/>
          <w:highlight w:val="none"/>
          <w:lang w:val="en-US" w:eastAsia="zh-CN"/>
        </w:rPr>
        <w:t>5</w:t>
      </w:r>
      <w:r>
        <w:rPr>
          <w:rFonts w:hint="eastAsia" w:ascii="宋体" w:hAnsi="宋体"/>
          <w:color w:val="auto"/>
          <w:sz w:val="24"/>
          <w:highlight w:val="none"/>
        </w:rPr>
        <w:t>0%</w:t>
      </w:r>
      <w:r>
        <w:rPr>
          <w:rFonts w:hint="eastAsia" w:ascii="宋体" w:hAnsi="宋体"/>
          <w:color w:val="auto"/>
          <w:sz w:val="24"/>
          <w:highlight w:val="none"/>
          <w:lang w:eastAsia="zh-CN"/>
        </w:rPr>
        <w:t>，</w:t>
      </w:r>
      <w:r>
        <w:rPr>
          <w:rFonts w:hint="eastAsia" w:ascii="宋体" w:hAnsi="宋体"/>
          <w:color w:val="auto"/>
          <w:sz w:val="24"/>
          <w:highlight w:val="none"/>
          <w:lang w:val="en-US" w:eastAsia="zh-CN"/>
        </w:rPr>
        <w:t>一年</w:t>
      </w:r>
      <w:r>
        <w:rPr>
          <w:rFonts w:hint="eastAsia" w:ascii="宋体" w:hAnsi="宋体"/>
          <w:color w:val="auto"/>
          <w:sz w:val="24"/>
          <w:highlight w:val="none"/>
        </w:rPr>
        <w:t>支付合同金额（年度消防维保服务费用）</w:t>
      </w:r>
      <w:r>
        <w:rPr>
          <w:rFonts w:hint="eastAsia" w:ascii="宋体" w:hAnsi="宋体"/>
          <w:color w:val="auto"/>
          <w:sz w:val="24"/>
          <w:highlight w:val="none"/>
          <w:lang w:val="en-US" w:eastAsia="zh-CN"/>
        </w:rPr>
        <w:t>10</w:t>
      </w:r>
      <w:r>
        <w:rPr>
          <w:rFonts w:hint="eastAsia" w:ascii="宋体" w:hAnsi="宋体"/>
          <w:color w:val="auto"/>
          <w:sz w:val="24"/>
          <w:highlight w:val="none"/>
        </w:rPr>
        <w:t>0%</w:t>
      </w:r>
      <w:r>
        <w:rPr>
          <w:rFonts w:hint="eastAsia" w:ascii="宋体" w:hAnsi="宋体"/>
          <w:color w:val="auto"/>
          <w:sz w:val="24"/>
          <w:highlight w:val="none"/>
          <w:lang w:eastAsia="zh-CN"/>
        </w:rPr>
        <w:t>。</w:t>
      </w:r>
    </w:p>
    <w:p w14:paraId="4E7AF5F7">
      <w:pPr>
        <w:numPr>
          <w:ilvl w:val="0"/>
          <w:numId w:val="0"/>
        </w:numPr>
        <w:spacing w:line="360" w:lineRule="auto"/>
        <w:ind w:firstLine="480" w:firstLineChars="200"/>
        <w:rPr>
          <w:rFonts w:hint="eastAsia" w:ascii="宋体" w:hAnsi="宋体" w:cstheme="minorBidi"/>
          <w:color w:val="auto"/>
          <w:kern w:val="2"/>
          <w:sz w:val="24"/>
          <w:szCs w:val="22"/>
          <w:highlight w:val="none"/>
          <w:lang w:val="en-US" w:eastAsia="zh-CN" w:bidi="ar-SA"/>
        </w:rPr>
      </w:pPr>
      <w:r>
        <w:rPr>
          <w:rFonts w:hint="eastAsia" w:ascii="宋体" w:hAnsi="宋体" w:cstheme="minorBidi"/>
          <w:color w:val="auto"/>
          <w:kern w:val="2"/>
          <w:sz w:val="24"/>
          <w:szCs w:val="22"/>
          <w:highlight w:val="none"/>
          <w:lang w:val="en-US" w:eastAsia="zh-CN" w:bidi="ar-SA"/>
        </w:rPr>
        <w:t>3</w:t>
      </w:r>
      <w:r>
        <w:rPr>
          <w:rFonts w:ascii="宋体" w:hAnsi="宋体" w:eastAsiaTheme="minorEastAsia" w:cstheme="minorBidi"/>
          <w:color w:val="auto"/>
          <w:kern w:val="2"/>
          <w:sz w:val="24"/>
          <w:szCs w:val="22"/>
          <w:highlight w:val="none"/>
          <w:lang w:val="en-US" w:eastAsia="zh-CN" w:bidi="ar-SA"/>
        </w:rPr>
        <w:t>、</w:t>
      </w:r>
      <w:r>
        <w:rPr>
          <w:rFonts w:hint="eastAsia" w:ascii="宋体" w:hAnsi="宋体" w:cstheme="minorBidi"/>
          <w:color w:val="auto"/>
          <w:kern w:val="2"/>
          <w:sz w:val="24"/>
          <w:szCs w:val="22"/>
          <w:highlight w:val="none"/>
          <w:lang w:val="en-US" w:eastAsia="zh-CN" w:bidi="ar-SA"/>
        </w:rPr>
        <w:t>履约保证金</w:t>
      </w:r>
    </w:p>
    <w:p w14:paraId="6DE2DF97">
      <w:pPr>
        <w:numPr>
          <w:ilvl w:val="0"/>
          <w:numId w:val="0"/>
        </w:num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本项目履约保证金为项目年成交价的10%，</w:t>
      </w:r>
      <w:r>
        <w:rPr>
          <w:rFonts w:hint="eastAsia" w:ascii="宋体" w:hAnsi="宋体" w:cstheme="minorBidi"/>
          <w:color w:val="auto"/>
          <w:kern w:val="2"/>
          <w:sz w:val="24"/>
          <w:szCs w:val="22"/>
          <w:highlight w:val="none"/>
          <w:lang w:val="en-US" w:eastAsia="zh-CN" w:bidi="ar-SA"/>
        </w:rPr>
        <w:t>乙方</w:t>
      </w:r>
      <w:r>
        <w:rPr>
          <w:rFonts w:hint="eastAsia" w:ascii="宋体" w:hAnsi="宋体" w:eastAsiaTheme="minorEastAsia" w:cstheme="minorBidi"/>
          <w:color w:val="auto"/>
          <w:kern w:val="2"/>
          <w:sz w:val="24"/>
          <w:szCs w:val="22"/>
          <w:highlight w:val="none"/>
          <w:lang w:val="en-US" w:eastAsia="zh-CN" w:bidi="ar-SA"/>
        </w:rPr>
        <w:t>在合同签订之前将履约保证金（以现金或数字人民币、支票、汇票、本票等非现金形式）汇入采购人指定账户，或递交以金融机构、担保机构出具的履约保证金保函（保险），</w:t>
      </w:r>
      <w:r>
        <w:rPr>
          <w:rFonts w:hint="eastAsia" w:ascii="宋体" w:hAnsi="宋体" w:cstheme="minorBidi"/>
          <w:color w:val="auto"/>
          <w:kern w:val="2"/>
          <w:sz w:val="24"/>
          <w:szCs w:val="22"/>
          <w:highlight w:val="none"/>
          <w:lang w:val="en-US" w:eastAsia="zh-CN" w:bidi="ar-SA"/>
        </w:rPr>
        <w:t>乙方</w:t>
      </w:r>
      <w:r>
        <w:rPr>
          <w:rFonts w:hint="eastAsia" w:ascii="宋体" w:hAnsi="宋体" w:eastAsiaTheme="minorEastAsia" w:cstheme="minorBidi"/>
          <w:color w:val="auto"/>
          <w:kern w:val="2"/>
          <w:sz w:val="24"/>
          <w:szCs w:val="22"/>
          <w:highlight w:val="none"/>
          <w:lang w:val="en-US" w:eastAsia="zh-CN" w:bidi="ar-SA"/>
        </w:rPr>
        <w:t>凭成交通知书与</w:t>
      </w:r>
      <w:r>
        <w:rPr>
          <w:rFonts w:hint="eastAsia" w:ascii="宋体" w:hAnsi="宋体" w:cstheme="minorBidi"/>
          <w:color w:val="auto"/>
          <w:kern w:val="2"/>
          <w:sz w:val="24"/>
          <w:szCs w:val="22"/>
          <w:highlight w:val="none"/>
          <w:lang w:val="en-US" w:eastAsia="zh-CN" w:bidi="ar-SA"/>
        </w:rPr>
        <w:t>甲方</w:t>
      </w:r>
      <w:r>
        <w:rPr>
          <w:rFonts w:hint="eastAsia" w:ascii="宋体" w:hAnsi="宋体" w:eastAsiaTheme="minorEastAsia" w:cstheme="minorBidi"/>
          <w:color w:val="auto"/>
          <w:kern w:val="2"/>
          <w:sz w:val="24"/>
          <w:szCs w:val="22"/>
          <w:highlight w:val="none"/>
          <w:lang w:val="en-US" w:eastAsia="zh-CN" w:bidi="ar-SA"/>
        </w:rPr>
        <w:t>签订合同。超期或未有协商，则视为自动放弃成交资格。</w:t>
      </w:r>
    </w:p>
    <w:p w14:paraId="442AABA7">
      <w:pPr>
        <w:numPr>
          <w:ilvl w:val="0"/>
          <w:numId w:val="0"/>
        </w:num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cstheme="minorBidi"/>
          <w:color w:val="auto"/>
          <w:kern w:val="2"/>
          <w:sz w:val="24"/>
          <w:szCs w:val="22"/>
          <w:highlight w:val="none"/>
          <w:lang w:val="en-US" w:eastAsia="zh-CN" w:bidi="ar-SA"/>
        </w:rPr>
        <w:t>3.1乙方</w:t>
      </w:r>
      <w:r>
        <w:rPr>
          <w:rFonts w:hint="eastAsia" w:ascii="宋体" w:hAnsi="宋体" w:eastAsiaTheme="minorEastAsia" w:cstheme="minorBidi"/>
          <w:color w:val="auto"/>
          <w:kern w:val="2"/>
          <w:sz w:val="24"/>
          <w:szCs w:val="22"/>
          <w:highlight w:val="none"/>
          <w:lang w:val="en-US" w:eastAsia="zh-CN" w:bidi="ar-SA"/>
        </w:rPr>
        <w:t>全部履约合同义务，经</w:t>
      </w:r>
      <w:r>
        <w:rPr>
          <w:rFonts w:hint="eastAsia" w:ascii="宋体" w:hAnsi="宋体" w:cstheme="minorBidi"/>
          <w:color w:val="auto"/>
          <w:kern w:val="2"/>
          <w:sz w:val="24"/>
          <w:szCs w:val="22"/>
          <w:highlight w:val="none"/>
          <w:lang w:val="en-US" w:eastAsia="zh-CN" w:bidi="ar-SA"/>
        </w:rPr>
        <w:t>甲方</w:t>
      </w:r>
      <w:r>
        <w:rPr>
          <w:rFonts w:hint="eastAsia" w:ascii="宋体" w:hAnsi="宋体" w:eastAsiaTheme="minorEastAsia" w:cstheme="minorBidi"/>
          <w:color w:val="auto"/>
          <w:kern w:val="2"/>
          <w:sz w:val="24"/>
          <w:szCs w:val="22"/>
          <w:highlight w:val="none"/>
          <w:lang w:val="en-US" w:eastAsia="zh-CN" w:bidi="ar-SA"/>
        </w:rPr>
        <w:t>验收合格无质量、进度等问题的，</w:t>
      </w:r>
      <w:r>
        <w:rPr>
          <w:rFonts w:hint="eastAsia" w:ascii="宋体" w:hAnsi="宋体" w:cstheme="minorBidi"/>
          <w:color w:val="auto"/>
          <w:kern w:val="2"/>
          <w:sz w:val="24"/>
          <w:szCs w:val="22"/>
          <w:highlight w:val="none"/>
          <w:lang w:val="en-US" w:eastAsia="zh-CN" w:bidi="ar-SA"/>
        </w:rPr>
        <w:t>甲方</w:t>
      </w:r>
      <w:r>
        <w:rPr>
          <w:rFonts w:hint="eastAsia" w:ascii="宋体" w:hAnsi="宋体" w:eastAsiaTheme="minorEastAsia" w:cstheme="minorBidi"/>
          <w:color w:val="auto"/>
          <w:kern w:val="2"/>
          <w:sz w:val="24"/>
          <w:szCs w:val="22"/>
          <w:highlight w:val="none"/>
          <w:lang w:val="en-US" w:eastAsia="zh-CN" w:bidi="ar-SA"/>
        </w:rPr>
        <w:t>在合同期满后无息退还履约保证金；</w:t>
      </w:r>
    </w:p>
    <w:p w14:paraId="13FAE4A9">
      <w:pPr>
        <w:numPr>
          <w:ilvl w:val="0"/>
          <w:numId w:val="0"/>
        </w:num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cstheme="minorBidi"/>
          <w:color w:val="auto"/>
          <w:kern w:val="2"/>
          <w:sz w:val="24"/>
          <w:szCs w:val="22"/>
          <w:highlight w:val="none"/>
          <w:lang w:val="en-US" w:eastAsia="zh-CN" w:bidi="ar-SA"/>
        </w:rPr>
        <w:t>3.2</w:t>
      </w:r>
      <w:r>
        <w:rPr>
          <w:rFonts w:hint="eastAsia" w:ascii="宋体" w:hAnsi="宋体" w:eastAsiaTheme="minorEastAsia" w:cstheme="minorBidi"/>
          <w:color w:val="auto"/>
          <w:kern w:val="2"/>
          <w:sz w:val="24"/>
          <w:szCs w:val="22"/>
          <w:highlight w:val="none"/>
          <w:lang w:val="en-US" w:eastAsia="zh-CN" w:bidi="ar-SA"/>
        </w:rPr>
        <w:t>发生以下情况的，履约保证金不予退还或部分退还：</w:t>
      </w:r>
    </w:p>
    <w:p w14:paraId="12492F57">
      <w:pPr>
        <w:numPr>
          <w:ilvl w:val="0"/>
          <w:numId w:val="0"/>
        </w:num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a.签订合同后，</w:t>
      </w:r>
      <w:r>
        <w:rPr>
          <w:rFonts w:hint="eastAsia" w:ascii="宋体" w:hAnsi="宋体" w:cstheme="minorBidi"/>
          <w:color w:val="auto"/>
          <w:kern w:val="2"/>
          <w:sz w:val="24"/>
          <w:szCs w:val="22"/>
          <w:highlight w:val="none"/>
          <w:lang w:val="en-US" w:eastAsia="zh-CN" w:bidi="ar-SA"/>
        </w:rPr>
        <w:t>乙方</w:t>
      </w:r>
      <w:r>
        <w:rPr>
          <w:rFonts w:hint="eastAsia" w:ascii="宋体" w:hAnsi="宋体" w:eastAsiaTheme="minorEastAsia" w:cstheme="minorBidi"/>
          <w:color w:val="auto"/>
          <w:kern w:val="2"/>
          <w:sz w:val="24"/>
          <w:szCs w:val="22"/>
          <w:highlight w:val="none"/>
          <w:lang w:val="en-US" w:eastAsia="zh-CN" w:bidi="ar-SA"/>
        </w:rPr>
        <w:t>不履行合同义务的，</w:t>
      </w:r>
      <w:r>
        <w:rPr>
          <w:rFonts w:hint="eastAsia" w:ascii="宋体" w:hAnsi="宋体" w:cstheme="minorBidi"/>
          <w:color w:val="auto"/>
          <w:kern w:val="2"/>
          <w:sz w:val="24"/>
          <w:szCs w:val="22"/>
          <w:highlight w:val="none"/>
          <w:lang w:val="en-US" w:eastAsia="zh-CN" w:bidi="ar-SA"/>
        </w:rPr>
        <w:t>甲方</w:t>
      </w:r>
      <w:r>
        <w:rPr>
          <w:rFonts w:hint="eastAsia" w:ascii="宋体" w:hAnsi="宋体" w:eastAsiaTheme="minorEastAsia" w:cstheme="minorBidi"/>
          <w:color w:val="auto"/>
          <w:kern w:val="2"/>
          <w:sz w:val="24"/>
          <w:szCs w:val="22"/>
          <w:highlight w:val="none"/>
          <w:lang w:val="en-US" w:eastAsia="zh-CN" w:bidi="ar-SA"/>
        </w:rPr>
        <w:t>有权全额扣除履约保证金，全额不予退还，同时</w:t>
      </w:r>
      <w:r>
        <w:rPr>
          <w:rFonts w:hint="eastAsia" w:ascii="宋体" w:hAnsi="宋体" w:cstheme="minorBidi"/>
          <w:color w:val="auto"/>
          <w:kern w:val="2"/>
          <w:sz w:val="24"/>
          <w:szCs w:val="22"/>
          <w:highlight w:val="none"/>
          <w:lang w:val="en-US" w:eastAsia="zh-CN" w:bidi="ar-SA"/>
        </w:rPr>
        <w:t>甲方</w:t>
      </w:r>
      <w:r>
        <w:rPr>
          <w:rFonts w:hint="eastAsia" w:ascii="宋体" w:hAnsi="宋体" w:eastAsiaTheme="minorEastAsia" w:cstheme="minorBidi"/>
          <w:color w:val="auto"/>
          <w:kern w:val="2"/>
          <w:sz w:val="24"/>
          <w:szCs w:val="22"/>
          <w:highlight w:val="none"/>
          <w:lang w:val="en-US" w:eastAsia="zh-CN" w:bidi="ar-SA"/>
        </w:rPr>
        <w:t>亦有权终止合同，</w:t>
      </w:r>
      <w:r>
        <w:rPr>
          <w:rFonts w:hint="eastAsia" w:ascii="宋体" w:hAnsi="宋体" w:cstheme="minorBidi"/>
          <w:color w:val="auto"/>
          <w:kern w:val="2"/>
          <w:sz w:val="24"/>
          <w:szCs w:val="22"/>
          <w:highlight w:val="none"/>
          <w:lang w:val="en-US" w:eastAsia="zh-CN" w:bidi="ar-SA"/>
        </w:rPr>
        <w:t>乙方</w:t>
      </w:r>
      <w:r>
        <w:rPr>
          <w:rFonts w:hint="eastAsia" w:ascii="宋体" w:hAnsi="宋体" w:eastAsiaTheme="minorEastAsia" w:cstheme="minorBidi"/>
          <w:color w:val="auto"/>
          <w:kern w:val="2"/>
          <w:sz w:val="24"/>
          <w:szCs w:val="22"/>
          <w:highlight w:val="none"/>
          <w:lang w:val="en-US" w:eastAsia="zh-CN" w:bidi="ar-SA"/>
        </w:rPr>
        <w:t>还须承担相应的法律赔偿责任。</w:t>
      </w:r>
    </w:p>
    <w:p w14:paraId="48858751">
      <w:pPr>
        <w:numPr>
          <w:ilvl w:val="0"/>
          <w:numId w:val="0"/>
        </w:numPr>
        <w:spacing w:line="360" w:lineRule="auto"/>
        <w:ind w:firstLine="480" w:firstLineChars="200"/>
        <w:rPr>
          <w:rFonts w:hint="eastAsia" w:ascii="宋体" w:hAnsi="宋体" w:eastAsiaTheme="minorEastAsia" w:cstheme="minorBidi"/>
          <w:color w:val="auto"/>
          <w:kern w:val="2"/>
          <w:sz w:val="24"/>
          <w:szCs w:val="22"/>
          <w:highlight w:val="none"/>
          <w:lang w:val="en-US" w:eastAsia="zh-CN" w:bidi="ar-SA"/>
        </w:rPr>
      </w:pPr>
      <w:r>
        <w:rPr>
          <w:rFonts w:hint="eastAsia" w:ascii="宋体" w:hAnsi="宋体" w:eastAsiaTheme="minorEastAsia" w:cstheme="minorBidi"/>
          <w:color w:val="auto"/>
          <w:kern w:val="2"/>
          <w:sz w:val="24"/>
          <w:szCs w:val="22"/>
          <w:highlight w:val="none"/>
          <w:lang w:val="en-US" w:eastAsia="zh-CN" w:bidi="ar-SA"/>
        </w:rPr>
        <w:t>b.</w:t>
      </w:r>
      <w:r>
        <w:rPr>
          <w:rFonts w:hint="eastAsia" w:ascii="宋体" w:hAnsi="宋体" w:cstheme="minorBidi"/>
          <w:color w:val="auto"/>
          <w:kern w:val="2"/>
          <w:sz w:val="24"/>
          <w:szCs w:val="22"/>
          <w:highlight w:val="none"/>
          <w:lang w:val="en-US" w:eastAsia="zh-CN" w:bidi="ar-SA"/>
        </w:rPr>
        <w:t>乙方</w:t>
      </w:r>
      <w:r>
        <w:rPr>
          <w:rFonts w:hint="eastAsia" w:ascii="宋体" w:hAnsi="宋体" w:eastAsiaTheme="minorEastAsia" w:cstheme="minorBidi"/>
          <w:color w:val="auto"/>
          <w:kern w:val="2"/>
          <w:sz w:val="24"/>
          <w:szCs w:val="22"/>
          <w:highlight w:val="none"/>
          <w:lang w:val="en-US" w:eastAsia="zh-CN" w:bidi="ar-SA"/>
        </w:rPr>
        <w:t>在履约过程中发生违约行为，给</w:t>
      </w:r>
      <w:r>
        <w:rPr>
          <w:rFonts w:hint="eastAsia" w:ascii="宋体" w:hAnsi="宋体" w:cstheme="minorBidi"/>
          <w:color w:val="auto"/>
          <w:kern w:val="2"/>
          <w:sz w:val="24"/>
          <w:szCs w:val="22"/>
          <w:highlight w:val="none"/>
          <w:lang w:val="en-US" w:eastAsia="zh-CN" w:bidi="ar-SA"/>
        </w:rPr>
        <w:t>甲方</w:t>
      </w:r>
      <w:r>
        <w:rPr>
          <w:rFonts w:hint="eastAsia" w:ascii="宋体" w:hAnsi="宋体" w:eastAsiaTheme="minorEastAsia" w:cstheme="minorBidi"/>
          <w:color w:val="auto"/>
          <w:kern w:val="2"/>
          <w:sz w:val="24"/>
          <w:szCs w:val="22"/>
          <w:highlight w:val="none"/>
          <w:lang w:val="en-US" w:eastAsia="zh-CN" w:bidi="ar-SA"/>
        </w:rPr>
        <w:t>造成损失的，</w:t>
      </w:r>
      <w:r>
        <w:rPr>
          <w:rFonts w:hint="eastAsia" w:ascii="宋体" w:hAnsi="宋体" w:cstheme="minorBidi"/>
          <w:color w:val="auto"/>
          <w:kern w:val="2"/>
          <w:sz w:val="24"/>
          <w:szCs w:val="22"/>
          <w:highlight w:val="none"/>
          <w:lang w:val="en-US" w:eastAsia="zh-CN" w:bidi="ar-SA"/>
        </w:rPr>
        <w:t>甲方</w:t>
      </w:r>
      <w:r>
        <w:rPr>
          <w:rFonts w:hint="eastAsia" w:ascii="宋体" w:hAnsi="宋体" w:eastAsiaTheme="minorEastAsia" w:cstheme="minorBidi"/>
          <w:color w:val="auto"/>
          <w:kern w:val="2"/>
          <w:sz w:val="24"/>
          <w:szCs w:val="22"/>
          <w:highlight w:val="none"/>
          <w:lang w:val="en-US" w:eastAsia="zh-CN" w:bidi="ar-SA"/>
        </w:rPr>
        <w:t>有权在</w:t>
      </w:r>
      <w:r>
        <w:rPr>
          <w:rFonts w:hint="eastAsia" w:ascii="宋体" w:hAnsi="宋体" w:cstheme="minorBidi"/>
          <w:color w:val="auto"/>
          <w:kern w:val="2"/>
          <w:sz w:val="24"/>
          <w:szCs w:val="22"/>
          <w:highlight w:val="none"/>
          <w:lang w:val="en-US" w:eastAsia="zh-CN" w:bidi="ar-SA"/>
        </w:rPr>
        <w:t>乙方</w:t>
      </w:r>
      <w:r>
        <w:rPr>
          <w:rFonts w:hint="eastAsia" w:ascii="宋体" w:hAnsi="宋体" w:eastAsiaTheme="minorEastAsia" w:cstheme="minorBidi"/>
          <w:color w:val="auto"/>
          <w:kern w:val="2"/>
          <w:sz w:val="24"/>
          <w:szCs w:val="22"/>
          <w:highlight w:val="none"/>
          <w:lang w:val="en-US" w:eastAsia="zh-CN" w:bidi="ar-SA"/>
        </w:rPr>
        <w:t>缴纳的履约保证金中予以扣款，以弥补</w:t>
      </w:r>
      <w:r>
        <w:rPr>
          <w:rFonts w:hint="eastAsia" w:ascii="宋体" w:hAnsi="宋体" w:cstheme="minorBidi"/>
          <w:color w:val="auto"/>
          <w:kern w:val="2"/>
          <w:sz w:val="24"/>
          <w:szCs w:val="22"/>
          <w:highlight w:val="none"/>
          <w:lang w:val="en-US" w:eastAsia="zh-CN" w:bidi="ar-SA"/>
        </w:rPr>
        <w:t>甲方</w:t>
      </w:r>
      <w:r>
        <w:rPr>
          <w:rFonts w:hint="eastAsia" w:ascii="宋体" w:hAnsi="宋体" w:eastAsiaTheme="minorEastAsia" w:cstheme="minorBidi"/>
          <w:color w:val="auto"/>
          <w:kern w:val="2"/>
          <w:sz w:val="24"/>
          <w:szCs w:val="22"/>
          <w:highlight w:val="none"/>
          <w:lang w:val="en-US" w:eastAsia="zh-CN" w:bidi="ar-SA"/>
        </w:rPr>
        <w:t>经济损失，不足的部分</w:t>
      </w:r>
      <w:r>
        <w:rPr>
          <w:rFonts w:hint="eastAsia" w:ascii="宋体" w:hAnsi="宋体" w:cstheme="minorBidi"/>
          <w:color w:val="auto"/>
          <w:kern w:val="2"/>
          <w:sz w:val="24"/>
          <w:szCs w:val="22"/>
          <w:highlight w:val="none"/>
          <w:lang w:val="en-US" w:eastAsia="zh-CN" w:bidi="ar-SA"/>
        </w:rPr>
        <w:t>乙方</w:t>
      </w:r>
      <w:r>
        <w:rPr>
          <w:rFonts w:hint="eastAsia" w:ascii="宋体" w:hAnsi="宋体" w:eastAsiaTheme="minorEastAsia" w:cstheme="minorBidi"/>
          <w:color w:val="auto"/>
          <w:kern w:val="2"/>
          <w:sz w:val="24"/>
          <w:szCs w:val="22"/>
          <w:highlight w:val="none"/>
          <w:lang w:val="en-US" w:eastAsia="zh-CN" w:bidi="ar-SA"/>
        </w:rPr>
        <w:t>另外补齐。</w:t>
      </w:r>
    </w:p>
    <w:p w14:paraId="2397E9CC">
      <w:pPr>
        <w:numPr>
          <w:ilvl w:val="0"/>
          <w:numId w:val="0"/>
        </w:numPr>
        <w:spacing w:line="360" w:lineRule="auto"/>
        <w:ind w:firstLine="480" w:firstLineChars="200"/>
        <w:rPr>
          <w:rFonts w:ascii="宋体" w:hAnsi="宋体"/>
          <w:color w:val="auto"/>
          <w:sz w:val="24"/>
          <w:highlight w:val="none"/>
        </w:rPr>
      </w:pPr>
      <w:r>
        <w:rPr>
          <w:rFonts w:hint="eastAsia" w:ascii="宋体" w:hAnsi="宋体" w:eastAsiaTheme="minorEastAsia" w:cstheme="minorBidi"/>
          <w:color w:val="auto"/>
          <w:kern w:val="2"/>
          <w:sz w:val="24"/>
          <w:szCs w:val="22"/>
          <w:highlight w:val="none"/>
          <w:lang w:val="en-US" w:eastAsia="zh-CN" w:bidi="ar-SA"/>
        </w:rPr>
        <w:t>4、以履约保函（保险）形式向招标人缴纳的，按照《关于在全省政府采购领域推行电子履约保函（保险）的通知》，登录江苏政府采购网，选择“保险保函”模块，进行相关操作。乙方可登陆江苏政府采购网“资料下载”栏目下载“政府采购电子履约（保函）保险操作手册（网址：www.ccgp-jiangsu.gov.cn/jisngsu/zlxz/)。</w:t>
      </w:r>
    </w:p>
    <w:p w14:paraId="783B8A68">
      <w:pPr>
        <w:spacing w:line="360" w:lineRule="auto"/>
        <w:ind w:firstLine="482" w:firstLineChars="200"/>
        <w:rPr>
          <w:rFonts w:ascii="宋体" w:hAnsi="宋体"/>
          <w:b/>
          <w:color w:val="auto"/>
          <w:sz w:val="24"/>
          <w:highlight w:val="none"/>
        </w:rPr>
      </w:pPr>
      <w:r>
        <w:rPr>
          <w:rFonts w:hint="eastAsia" w:ascii="宋体" w:hAnsi="宋体"/>
          <w:b/>
          <w:color w:val="auto"/>
          <w:sz w:val="24"/>
          <w:highlight w:val="none"/>
          <w:lang w:val="en-US" w:eastAsia="zh-CN"/>
        </w:rPr>
        <w:t>八</w:t>
      </w:r>
      <w:r>
        <w:rPr>
          <w:rFonts w:hint="eastAsia" w:ascii="宋体" w:hAnsi="宋体"/>
          <w:b/>
          <w:color w:val="auto"/>
          <w:sz w:val="24"/>
          <w:highlight w:val="none"/>
        </w:rPr>
        <w:t>、违约责任：</w:t>
      </w:r>
    </w:p>
    <w:p w14:paraId="5FB251D9">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中标单位应对消防设施进行检查、调试、维修，使整个消防系统具备报警、联动、自动灭火等应有的消防功能，各项运行状态正常，若维保方不能够在规定的时间内进行抢修，保卫处将根据实际情况，每次扣除当月维保费用的10%，发生3次抢修不及时的，我校有权单方面终止合同，全部责任由中标单位负责。</w:t>
      </w:r>
    </w:p>
    <w:p w14:paraId="6DA075A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2、中标单位不能够按照合同约定完成消防维保项目要求，不能够在规定的时间内进行维保，我校将扣除当月维保费用，若发生2次维保不及时的，我校有权单方面终止合同，全部责任由中标单位负责。</w:t>
      </w:r>
    </w:p>
    <w:p w14:paraId="7C2F148D">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3、若因维保不及时导致学校被消防部门处罚的或因巡查检查不到位，导致消防隐患未及时发现被领导批评的，我校有权终止与维保方合作关系，视作维保方违约，并追究维保方相关责任。</w:t>
      </w:r>
    </w:p>
    <w:p w14:paraId="6F73AD0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4、若因维保方失职、怠工等原因使得消防设施运行不正常，造成严重后果的，中标方因承担所有法律责任及经济赔偿责任。</w:t>
      </w:r>
    </w:p>
    <w:p w14:paraId="6A852A5E">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w:t>
      </w:r>
      <w:r>
        <w:rPr>
          <w:rFonts w:hint="eastAsia" w:ascii="宋体" w:hAnsi="宋体"/>
          <w:color w:val="auto"/>
          <w:sz w:val="24"/>
          <w:highlight w:val="none"/>
          <w:lang w:eastAsia="zh-CN"/>
        </w:rPr>
        <w:t>乙方</w:t>
      </w:r>
      <w:r>
        <w:rPr>
          <w:rFonts w:hint="eastAsia" w:ascii="宋体" w:hAnsi="宋体"/>
          <w:color w:val="auto"/>
          <w:sz w:val="24"/>
          <w:highlight w:val="none"/>
        </w:rPr>
        <w:t>不得将项目转包或分包，一经发现，</w:t>
      </w:r>
      <w:r>
        <w:rPr>
          <w:rFonts w:hint="eastAsia" w:ascii="宋体" w:hAnsi="宋体"/>
          <w:color w:val="auto"/>
          <w:sz w:val="24"/>
          <w:highlight w:val="none"/>
          <w:lang w:eastAsia="zh-CN"/>
        </w:rPr>
        <w:t>甲方</w:t>
      </w:r>
      <w:r>
        <w:rPr>
          <w:rFonts w:hint="eastAsia" w:ascii="宋体" w:hAnsi="宋体"/>
          <w:color w:val="auto"/>
          <w:sz w:val="24"/>
          <w:highlight w:val="none"/>
        </w:rPr>
        <w:t>有权解除合同，所造成的一切损失均由</w:t>
      </w:r>
      <w:r>
        <w:rPr>
          <w:rFonts w:hint="eastAsia" w:ascii="宋体" w:hAnsi="宋体"/>
          <w:color w:val="auto"/>
          <w:sz w:val="24"/>
          <w:highlight w:val="none"/>
          <w:lang w:eastAsia="zh-CN"/>
        </w:rPr>
        <w:t>乙方</w:t>
      </w:r>
      <w:r>
        <w:rPr>
          <w:rFonts w:hint="eastAsia" w:ascii="宋体" w:hAnsi="宋体"/>
          <w:color w:val="auto"/>
          <w:sz w:val="24"/>
          <w:highlight w:val="none"/>
        </w:rPr>
        <w:t xml:space="preserve">负责。 </w:t>
      </w:r>
    </w:p>
    <w:p w14:paraId="60D19246">
      <w:pPr>
        <w:spacing w:line="360" w:lineRule="auto"/>
        <w:ind w:firstLine="480" w:firstLineChars="200"/>
        <w:rPr>
          <w:rFonts w:ascii="宋体" w:hAnsi="宋体"/>
          <w:color w:val="auto"/>
          <w:sz w:val="24"/>
          <w:highlight w:val="none"/>
        </w:rPr>
      </w:pPr>
      <w:r>
        <w:rPr>
          <w:rFonts w:hint="eastAsia" w:ascii="宋体" w:hAnsi="宋体"/>
          <w:color w:val="auto"/>
          <w:sz w:val="24"/>
          <w:highlight w:val="none"/>
          <w:lang w:val="en-US" w:eastAsia="zh-CN"/>
        </w:rPr>
        <w:t>九</w:t>
      </w:r>
      <w:r>
        <w:rPr>
          <w:rFonts w:hint="eastAsia" w:ascii="宋体" w:hAnsi="宋体"/>
          <w:color w:val="auto"/>
          <w:sz w:val="24"/>
          <w:highlight w:val="none"/>
        </w:rPr>
        <w:t>、解决合同纠纷的方式：本合同履行过程中发生争议，双方应协商解决，协商不成时，采用下列方式中的</w:t>
      </w:r>
      <w:r>
        <w:rPr>
          <w:rFonts w:hint="eastAsia" w:ascii="宋体" w:hAnsi="宋体"/>
          <w:color w:val="auto"/>
          <w:sz w:val="24"/>
          <w:highlight w:val="none"/>
          <w:u w:val="single"/>
        </w:rPr>
        <w:t xml:space="preserve"> 2 </w:t>
      </w:r>
      <w:r>
        <w:rPr>
          <w:rFonts w:hint="eastAsia" w:ascii="宋体" w:hAnsi="宋体"/>
          <w:color w:val="auto"/>
          <w:sz w:val="24"/>
          <w:highlight w:val="none"/>
        </w:rPr>
        <w:t>解决。</w:t>
      </w:r>
    </w:p>
    <w:p w14:paraId="239176C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1、由</w:t>
      </w:r>
      <w:r>
        <w:rPr>
          <w:rFonts w:hint="eastAsia" w:ascii="宋体" w:hAnsi="宋体"/>
          <w:color w:val="auto"/>
          <w:sz w:val="24"/>
          <w:highlight w:val="none"/>
          <w:u w:val="single"/>
        </w:rPr>
        <w:t xml:space="preserve">          </w:t>
      </w:r>
      <w:r>
        <w:rPr>
          <w:rFonts w:hint="eastAsia" w:ascii="宋体" w:hAnsi="宋体"/>
          <w:color w:val="auto"/>
          <w:sz w:val="24"/>
          <w:highlight w:val="none"/>
        </w:rPr>
        <w:t>仲裁机关仲裁；</w:t>
      </w:r>
    </w:p>
    <w:p w14:paraId="2EA426D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2、向</w:t>
      </w:r>
      <w:r>
        <w:rPr>
          <w:rFonts w:hint="eastAsia" w:ascii="宋体" w:hAnsi="宋体"/>
          <w:color w:val="auto"/>
          <w:sz w:val="24"/>
          <w:highlight w:val="none"/>
          <w:u w:val="single"/>
        </w:rPr>
        <w:t xml:space="preserve"> 项目所在地 </w:t>
      </w:r>
      <w:r>
        <w:rPr>
          <w:rFonts w:hint="eastAsia" w:ascii="宋体" w:hAnsi="宋体"/>
          <w:color w:val="auto"/>
          <w:sz w:val="24"/>
          <w:highlight w:val="none"/>
        </w:rPr>
        <w:t>法院起诉。</w:t>
      </w:r>
    </w:p>
    <w:p w14:paraId="21DE4BC6">
      <w:pPr>
        <w:spacing w:line="360" w:lineRule="auto"/>
        <w:ind w:firstLine="480" w:firstLineChars="200"/>
        <w:rPr>
          <w:rFonts w:ascii="宋体" w:hAnsi="宋体" w:cs="Arial"/>
          <w:color w:val="auto"/>
          <w:kern w:val="0"/>
          <w:sz w:val="24"/>
          <w:highlight w:val="none"/>
        </w:rPr>
      </w:pPr>
      <w:r>
        <w:rPr>
          <w:rFonts w:hint="eastAsia" w:ascii="宋体" w:hAnsi="宋体"/>
          <w:color w:val="auto"/>
          <w:sz w:val="24"/>
          <w:highlight w:val="none"/>
          <w:lang w:val="en-US" w:eastAsia="zh-CN"/>
        </w:rPr>
        <w:t>十</w:t>
      </w:r>
      <w:r>
        <w:rPr>
          <w:rFonts w:hint="eastAsia" w:ascii="宋体" w:hAnsi="宋体"/>
          <w:color w:val="auto"/>
          <w:sz w:val="24"/>
          <w:highlight w:val="none"/>
        </w:rPr>
        <w:t>、一年</w:t>
      </w:r>
      <w:r>
        <w:rPr>
          <w:rFonts w:hint="eastAsia" w:ascii="宋体" w:hAnsi="宋体" w:cs="Arial"/>
          <w:color w:val="auto"/>
          <w:kern w:val="0"/>
          <w:sz w:val="24"/>
          <w:highlight w:val="none"/>
        </w:rPr>
        <w:t>协议期满，乙方服务考评合格且甲方满意的情况下可以续约合同。如甲乙双方的任何一方不愿意再续签合同，则乙方应在满足甲方所有合同范围内的要求后结束服务。</w:t>
      </w:r>
    </w:p>
    <w:p w14:paraId="3A938B8D">
      <w:pPr>
        <w:spacing w:line="360" w:lineRule="auto"/>
        <w:ind w:firstLine="480" w:firstLineChars="200"/>
        <w:rPr>
          <w:rFonts w:ascii="宋体" w:hAnsi="宋体" w:cs="Arial"/>
          <w:color w:val="auto"/>
          <w:kern w:val="0"/>
          <w:sz w:val="24"/>
          <w:highlight w:val="none"/>
        </w:rPr>
      </w:pPr>
      <w:r>
        <w:rPr>
          <w:rFonts w:hint="eastAsia" w:ascii="宋体" w:hAnsi="宋体" w:cs="Arial"/>
          <w:color w:val="auto"/>
          <w:kern w:val="0"/>
          <w:sz w:val="24"/>
          <w:highlight w:val="none"/>
        </w:rPr>
        <w:t>如需续约，甲乙方应于本合同服务期结束前一个月完成续约签订工作。服务期满后，如有意续签又未完成续约签订的，则继续执行本合同规定的甲乙双方权责，直至合同正式签订。</w:t>
      </w:r>
    </w:p>
    <w:p w14:paraId="770B9254">
      <w:pPr>
        <w:spacing w:line="360" w:lineRule="auto"/>
        <w:ind w:firstLine="600" w:firstLineChars="250"/>
        <w:rPr>
          <w:rFonts w:ascii="宋体" w:hAnsi="宋体"/>
          <w:color w:val="auto"/>
          <w:sz w:val="24"/>
          <w:highlight w:val="none"/>
        </w:rPr>
      </w:pPr>
      <w:r>
        <w:rPr>
          <w:rFonts w:hint="eastAsia" w:ascii="宋体" w:hAnsi="宋体"/>
          <w:color w:val="auto"/>
          <w:sz w:val="24"/>
          <w:highlight w:val="none"/>
        </w:rPr>
        <w:t>十、</w:t>
      </w:r>
      <w:r>
        <w:rPr>
          <w:rFonts w:hint="eastAsia" w:ascii="宋体" w:hAnsi="宋体" w:cs="Arial"/>
          <w:color w:val="auto"/>
          <w:kern w:val="0"/>
          <w:sz w:val="24"/>
          <w:highlight w:val="none"/>
        </w:rPr>
        <w:t>履约保证金到账后，双方签字盖章后生效。本合同签订后,甲乙双方如需提出修改时,经双方协商一致后签订补充协议作为本合同的补充,另招标文件、投标文件作为本合同的附件，与本合同具有同样法律效力。</w:t>
      </w:r>
    </w:p>
    <w:p w14:paraId="275B9B42">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合同份数：本合同一式</w:t>
      </w:r>
      <w:r>
        <w:rPr>
          <w:rFonts w:hint="eastAsia" w:ascii="宋体" w:hAnsi="宋体"/>
          <w:color w:val="auto"/>
          <w:sz w:val="24"/>
          <w:highlight w:val="none"/>
          <w:u w:val="single"/>
        </w:rPr>
        <w:t xml:space="preserve"> 肆  </w:t>
      </w:r>
      <w:r>
        <w:rPr>
          <w:rFonts w:hint="eastAsia" w:ascii="宋体" w:hAnsi="宋体"/>
          <w:color w:val="auto"/>
          <w:sz w:val="24"/>
          <w:highlight w:val="none"/>
        </w:rPr>
        <w:t>份，双方签字盖章后生效，甲、乙双方各执</w:t>
      </w:r>
      <w:r>
        <w:rPr>
          <w:rFonts w:hint="eastAsia" w:ascii="宋体" w:hAnsi="宋体"/>
          <w:color w:val="auto"/>
          <w:sz w:val="24"/>
          <w:highlight w:val="none"/>
          <w:u w:val="single"/>
        </w:rPr>
        <w:t xml:space="preserve">  贰  </w:t>
      </w:r>
      <w:r>
        <w:rPr>
          <w:rFonts w:hint="eastAsia" w:ascii="宋体" w:hAnsi="宋体"/>
          <w:color w:val="auto"/>
          <w:sz w:val="24"/>
          <w:highlight w:val="none"/>
        </w:rPr>
        <w:t>份，送当地公安机关消防机构备案一份。</w:t>
      </w:r>
    </w:p>
    <w:p w14:paraId="49C7D6C3">
      <w:pPr>
        <w:spacing w:line="360" w:lineRule="auto"/>
        <w:rPr>
          <w:rFonts w:ascii="宋体" w:hAnsi="宋体"/>
          <w:color w:val="auto"/>
          <w:sz w:val="24"/>
          <w:highlight w:val="none"/>
        </w:rPr>
      </w:pPr>
    </w:p>
    <w:p w14:paraId="6414B07F">
      <w:pPr>
        <w:spacing w:line="360" w:lineRule="auto"/>
        <w:rPr>
          <w:rFonts w:ascii="宋体" w:hAnsi="宋体"/>
          <w:bCs/>
          <w:color w:val="auto"/>
          <w:spacing w:val="8"/>
          <w:sz w:val="24"/>
          <w:highlight w:val="none"/>
        </w:rPr>
      </w:pPr>
      <w:r>
        <w:rPr>
          <w:rFonts w:hint="eastAsia" w:ascii="宋体" w:hAnsi="宋体"/>
          <w:bCs/>
          <w:color w:val="auto"/>
          <w:spacing w:val="8"/>
          <w:sz w:val="24"/>
          <w:highlight w:val="none"/>
        </w:rPr>
        <w:t>甲方：(签章)</w:t>
      </w:r>
      <w:r>
        <w:rPr>
          <w:rFonts w:hint="eastAsia" w:ascii="宋体" w:hAnsi="宋体"/>
          <w:color w:val="auto"/>
          <w:sz w:val="24"/>
          <w:highlight w:val="none"/>
        </w:rPr>
        <w:t xml:space="preserve">                            </w:t>
      </w:r>
      <w:r>
        <w:rPr>
          <w:rFonts w:hint="eastAsia" w:ascii="宋体" w:hAnsi="宋体"/>
          <w:bCs/>
          <w:color w:val="auto"/>
          <w:spacing w:val="8"/>
          <w:sz w:val="24"/>
          <w:highlight w:val="none"/>
        </w:rPr>
        <w:t>乙方：(签章)</w:t>
      </w:r>
      <w:r>
        <w:rPr>
          <w:rFonts w:hint="eastAsia" w:ascii="宋体" w:hAnsi="宋体" w:cs="宋体"/>
          <w:bCs/>
          <w:color w:val="auto"/>
          <w:sz w:val="24"/>
          <w:highlight w:val="none"/>
        </w:rPr>
        <w:t xml:space="preserve">  </w:t>
      </w:r>
    </w:p>
    <w:p w14:paraId="19B87674">
      <w:pPr>
        <w:spacing w:line="360" w:lineRule="auto"/>
        <w:rPr>
          <w:rFonts w:ascii="宋体" w:hAnsi="宋体"/>
          <w:bCs/>
          <w:color w:val="auto"/>
          <w:spacing w:val="8"/>
          <w:sz w:val="24"/>
          <w:highlight w:val="none"/>
        </w:rPr>
      </w:pPr>
      <w:r>
        <w:rPr>
          <w:rFonts w:hint="eastAsia" w:ascii="宋体" w:hAnsi="宋体"/>
          <w:bCs/>
          <w:color w:val="auto"/>
          <w:spacing w:val="8"/>
          <w:sz w:val="24"/>
          <w:highlight w:val="none"/>
        </w:rPr>
        <w:t>甲方代表：                           乙方代表：</w:t>
      </w:r>
    </w:p>
    <w:p w14:paraId="2EC9DF33">
      <w:pPr>
        <w:ind w:left="5120" w:hanging="5120" w:hangingChars="2000"/>
        <w:rPr>
          <w:color w:val="auto"/>
          <w:highlight w:val="none"/>
        </w:rPr>
      </w:pPr>
      <w:r>
        <w:rPr>
          <w:rFonts w:hint="eastAsia" w:ascii="宋体" w:hAnsi="宋体"/>
          <w:bCs/>
          <w:color w:val="auto"/>
          <w:spacing w:val="8"/>
          <w:sz w:val="24"/>
          <w:highlight w:val="none"/>
        </w:rPr>
        <w:t>开户银行：                           开户银行：</w:t>
      </w:r>
    </w:p>
    <w:p w14:paraId="5E03D40B">
      <w:pPr>
        <w:spacing w:line="360" w:lineRule="auto"/>
        <w:jc w:val="left"/>
        <w:rPr>
          <w:rFonts w:ascii="宋体" w:hAnsi="宋体"/>
          <w:bCs/>
          <w:color w:val="auto"/>
          <w:spacing w:val="8"/>
          <w:w w:val="90"/>
          <w:sz w:val="24"/>
          <w:highlight w:val="none"/>
        </w:rPr>
      </w:pPr>
      <w:r>
        <w:rPr>
          <w:rFonts w:hint="eastAsia" w:ascii="宋体" w:hAnsi="宋体" w:cs="宋体"/>
          <w:bCs/>
          <w:color w:val="auto"/>
          <w:sz w:val="24"/>
          <w:highlight w:val="none"/>
        </w:rPr>
        <w:t xml:space="preserve"> </w:t>
      </w:r>
    </w:p>
    <w:p w14:paraId="237A51E0">
      <w:pPr>
        <w:spacing w:line="360" w:lineRule="auto"/>
        <w:rPr>
          <w:rFonts w:ascii="宋体" w:hAnsi="宋体"/>
          <w:bCs/>
          <w:color w:val="auto"/>
          <w:spacing w:val="8"/>
          <w:sz w:val="24"/>
          <w:highlight w:val="none"/>
        </w:rPr>
      </w:pPr>
      <w:r>
        <w:rPr>
          <w:rFonts w:hint="eastAsia" w:ascii="宋体" w:hAnsi="宋体"/>
          <w:bCs/>
          <w:color w:val="auto"/>
          <w:spacing w:val="8"/>
          <w:sz w:val="24"/>
          <w:highlight w:val="none"/>
        </w:rPr>
        <w:t xml:space="preserve">帐  号：                             帐   号： </w:t>
      </w:r>
      <w:r>
        <w:rPr>
          <w:rFonts w:hint="eastAsia" w:ascii="宋体" w:hAnsi="宋体" w:cs="宋体"/>
          <w:bCs/>
          <w:color w:val="auto"/>
          <w:sz w:val="24"/>
          <w:highlight w:val="none"/>
        </w:rPr>
        <w:t xml:space="preserve"> </w:t>
      </w:r>
    </w:p>
    <w:p w14:paraId="604B1A65">
      <w:pPr>
        <w:spacing w:line="360" w:lineRule="auto"/>
        <w:ind w:left="4480" w:hanging="4480" w:hangingChars="1750"/>
        <w:rPr>
          <w:rFonts w:hint="default" w:ascii="宋体" w:hAnsi="宋体" w:eastAsiaTheme="minorEastAsia"/>
          <w:bCs/>
          <w:color w:val="auto"/>
          <w:spacing w:val="8"/>
          <w:w w:val="90"/>
          <w:sz w:val="24"/>
          <w:highlight w:val="none"/>
          <w:lang w:val="en-US" w:eastAsia="zh-CN"/>
        </w:rPr>
      </w:pPr>
      <w:r>
        <w:rPr>
          <w:rFonts w:hint="eastAsia" w:ascii="宋体" w:hAnsi="宋体"/>
          <w:bCs/>
          <w:color w:val="auto"/>
          <w:spacing w:val="8"/>
          <w:sz w:val="24"/>
          <w:highlight w:val="none"/>
        </w:rPr>
        <w:t xml:space="preserve">通讯地址：     </w:t>
      </w:r>
      <w:r>
        <w:rPr>
          <w:rFonts w:hint="eastAsia" w:ascii="宋体" w:hAnsi="宋体"/>
          <w:bCs/>
          <w:color w:val="auto"/>
          <w:spacing w:val="8"/>
          <w:sz w:val="24"/>
          <w:highlight w:val="none"/>
          <w:lang w:val="en-US" w:eastAsia="zh-CN"/>
        </w:rPr>
        <w:t xml:space="preserve">                        </w:t>
      </w:r>
      <w:r>
        <w:rPr>
          <w:rFonts w:hint="eastAsia"/>
          <w:color w:val="auto"/>
          <w:highlight w:val="none"/>
        </w:rPr>
        <w:t>地址：</w:t>
      </w:r>
    </w:p>
    <w:p w14:paraId="72753319">
      <w:pPr>
        <w:spacing w:line="360" w:lineRule="auto"/>
        <w:rPr>
          <w:rFonts w:ascii="宋体" w:hAnsi="宋体"/>
          <w:bCs/>
          <w:color w:val="auto"/>
          <w:spacing w:val="8"/>
          <w:sz w:val="24"/>
          <w:highlight w:val="none"/>
        </w:rPr>
      </w:pPr>
      <w:r>
        <w:rPr>
          <w:rFonts w:hint="eastAsia" w:ascii="宋体" w:hAnsi="宋体"/>
          <w:bCs/>
          <w:color w:val="auto"/>
          <w:spacing w:val="8"/>
          <w:sz w:val="24"/>
          <w:highlight w:val="none"/>
        </w:rPr>
        <w:t xml:space="preserve">联系电话：                           联系电话：                           </w:t>
      </w:r>
    </w:p>
    <w:p w14:paraId="6389AD09">
      <w:pPr>
        <w:spacing w:line="360" w:lineRule="auto"/>
        <w:rPr>
          <w:rFonts w:ascii="宋体" w:hAnsi="宋体"/>
          <w:bCs/>
          <w:color w:val="auto"/>
          <w:spacing w:val="8"/>
          <w:sz w:val="24"/>
          <w:highlight w:val="none"/>
        </w:rPr>
      </w:pPr>
      <w:r>
        <w:rPr>
          <w:rFonts w:hint="eastAsia" w:ascii="宋体" w:hAnsi="宋体"/>
          <w:bCs/>
          <w:color w:val="auto"/>
          <w:spacing w:val="8"/>
          <w:sz w:val="24"/>
          <w:highlight w:val="none"/>
        </w:rPr>
        <w:t>签定日期：    年  月  日             签定日期：     年   月   日</w:t>
      </w:r>
    </w:p>
    <w:p w14:paraId="62B38BAB">
      <w:pPr>
        <w:spacing w:line="360" w:lineRule="auto"/>
        <w:jc w:val="left"/>
        <w:rPr>
          <w:rFonts w:ascii="宋体" w:hAnsi="宋体"/>
          <w:b/>
          <w:bCs/>
          <w:color w:val="auto"/>
          <w:spacing w:val="60"/>
          <w:szCs w:val="21"/>
          <w:highlight w:val="none"/>
        </w:rPr>
      </w:pPr>
    </w:p>
    <w:p w14:paraId="536D1EAE">
      <w:pPr>
        <w:spacing w:line="360" w:lineRule="auto"/>
        <w:jc w:val="center"/>
        <w:rPr>
          <w:rFonts w:ascii="宋体" w:hAnsi="宋体"/>
          <w:b/>
          <w:bCs/>
          <w:color w:val="auto"/>
          <w:spacing w:val="60"/>
          <w:sz w:val="44"/>
          <w:szCs w:val="44"/>
          <w:highlight w:val="none"/>
        </w:rPr>
      </w:pPr>
    </w:p>
    <w:p w14:paraId="70DE2A65">
      <w:pPr>
        <w:rPr>
          <w:color w:val="auto"/>
          <w:highlight w:val="none"/>
        </w:rPr>
      </w:pPr>
    </w:p>
    <w:p w14:paraId="5EFCD2D9">
      <w:pPr>
        <w:rPr>
          <w:rFonts w:hint="eastAsia" w:ascii="宋体" w:hAnsi="宋体" w:eastAsia="宋体" w:cs="宋体"/>
          <w:b/>
          <w:color w:val="auto"/>
          <w:sz w:val="36"/>
          <w:szCs w:val="36"/>
          <w:highlight w:val="none"/>
        </w:rPr>
      </w:pPr>
    </w:p>
    <w:p w14:paraId="2F963333">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EBD159C">
      <w:pPr>
        <w:spacing w:line="500" w:lineRule="exact"/>
        <w:contextualSpacing/>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6"/>
          <w:szCs w:val="36"/>
          <w:highlight w:val="none"/>
        </w:rPr>
        <w:t>第四部分  开标和评标</w:t>
      </w:r>
    </w:p>
    <w:p w14:paraId="79B87B5D">
      <w:pPr>
        <w:pStyle w:val="87"/>
        <w:snapToGrid w:val="0"/>
        <w:spacing w:before="0" w:after="0" w:line="420" w:lineRule="exact"/>
        <w:ind w:left="0" w:right="0" w:firstLine="562" w:firstLineChars="200"/>
        <w:jc w:val="left"/>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一、开标</w:t>
      </w:r>
    </w:p>
    <w:p w14:paraId="251338A8">
      <w:pPr>
        <w:tabs>
          <w:tab w:val="left" w:pos="3585"/>
        </w:tabs>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见面开标模式：投标人在指定地点参加开标会。</w:t>
      </w:r>
    </w:p>
    <w:p w14:paraId="4CF7CA33">
      <w:pPr>
        <w:pStyle w:val="87"/>
        <w:snapToGrid w:val="0"/>
        <w:spacing w:before="0" w:after="0" w:line="420" w:lineRule="exact"/>
        <w:ind w:left="0" w:right="0" w:firstLine="562" w:firstLineChars="200"/>
        <w:jc w:val="left"/>
        <w:rPr>
          <w:rFonts w:hint="eastAsia" w:ascii="宋体" w:hAnsi="宋体" w:eastAsia="宋体" w:cs="宋体"/>
          <w:b/>
          <w:color w:val="auto"/>
          <w:kern w:val="2"/>
          <w:sz w:val="28"/>
          <w:szCs w:val="28"/>
          <w:highlight w:val="none"/>
        </w:rPr>
      </w:pPr>
      <w:r>
        <w:rPr>
          <w:rFonts w:hint="eastAsia" w:ascii="宋体" w:hAnsi="宋体" w:eastAsia="宋体" w:cs="宋体"/>
          <w:b/>
          <w:color w:val="auto"/>
          <w:kern w:val="2"/>
          <w:sz w:val="28"/>
          <w:szCs w:val="28"/>
          <w:highlight w:val="none"/>
        </w:rPr>
        <w:t>二、评标流程和评标标准</w:t>
      </w:r>
    </w:p>
    <w:p w14:paraId="726D31E7">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采用综合评分法。分资格审查、商务技术文件、价格文件、三部分评审，总分值为100分，加分和减分因素除外。</w:t>
      </w:r>
    </w:p>
    <w:p w14:paraId="27E6F676">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首先由招标人对投标人资格进行审查，然后评标委员会对符合资格的投标人的投标文件进行符合性审查，最后评标委员会对符合性审查合格的投标文件商务、技术部分进行评估，综合比较与评价。待商务技术文件评审结束后，进行价格文件的开启、评审。投标人商务、技术部分和价格部分的合计分值，为该投标人的评标总得分。</w:t>
      </w:r>
    </w:p>
    <w:p w14:paraId="51359D25">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标结果按评审后得分由高到低顺序排列。得分相同的，按投标报价由低到高顺序排列。得分且投标报价相同的并列。投标文件满足招标文件全部实质性要求，且按照评审因素的量化指标评审得分前三名的投标人为中标候选人。</w:t>
      </w:r>
    </w:p>
    <w:p w14:paraId="7E0C5318">
      <w:pPr>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评委在认真审阅投标文件的基础上，根据各投标文件的响应程度独立评判，不得统一打分。</w:t>
      </w:r>
    </w:p>
    <w:p w14:paraId="0579CB2F">
      <w:pPr>
        <w:adjustRightInd w:val="0"/>
        <w:snapToGrid w:val="0"/>
        <w:spacing w:line="42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（一）招标人（代表）对投标人资格进行审查。</w:t>
      </w:r>
    </w:p>
    <w:p w14:paraId="7B848296">
      <w:pPr>
        <w:pStyle w:val="91"/>
        <w:adjustRightInd w:val="0"/>
        <w:snapToGrid w:val="0"/>
        <w:spacing w:line="420" w:lineRule="exact"/>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投标人资格不合格的，其投标文件判定为无效投标文件。</w:t>
      </w:r>
    </w:p>
    <w:p w14:paraId="420A8385">
      <w:pPr>
        <w:adjustRightInd w:val="0"/>
        <w:snapToGrid w:val="0"/>
        <w:spacing w:line="42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（二）评标委员会对符合资格投标人的投标文件进行符合性审查。</w:t>
      </w:r>
    </w:p>
    <w:p w14:paraId="66DD5DC1">
      <w:pPr>
        <w:pStyle w:val="91"/>
        <w:adjustRightInd w:val="0"/>
        <w:snapToGrid w:val="0"/>
        <w:spacing w:line="420" w:lineRule="exact"/>
        <w:ind w:firstLine="560" w:firstLineChars="200"/>
        <w:rPr>
          <w:rFonts w:hint="eastAsia" w:ascii="宋体" w:hAnsi="宋体" w:eastAsia="宋体" w:cs="宋体"/>
          <w:color w:val="auto"/>
          <w:sz w:val="28"/>
          <w:highlight w:val="none"/>
        </w:rPr>
      </w:pPr>
      <w:r>
        <w:rPr>
          <w:rFonts w:hint="eastAsia" w:ascii="宋体" w:hAnsi="宋体" w:eastAsia="宋体" w:cs="宋体"/>
          <w:color w:val="auto"/>
          <w:sz w:val="28"/>
          <w:highlight w:val="none"/>
        </w:rPr>
        <w:t xml:space="preserve">未通过符合性审查的投标文件，将被判为不满足招标文件实质性要求。 </w:t>
      </w:r>
    </w:p>
    <w:p w14:paraId="4905018E">
      <w:pPr>
        <w:adjustRightInd w:val="0"/>
        <w:snapToGrid w:val="0"/>
        <w:spacing w:line="420" w:lineRule="exact"/>
        <w:ind w:firstLine="562" w:firstLineChars="200"/>
        <w:jc w:val="left"/>
        <w:rPr>
          <w:rFonts w:hint="eastAsia" w:ascii="宋体" w:hAnsi="宋体" w:eastAsia="宋体" w:cs="宋体"/>
          <w:color w:val="auto"/>
          <w:kern w:val="0"/>
          <w:sz w:val="28"/>
          <w:szCs w:val="28"/>
          <w:highlight w:val="none"/>
          <w:lang w:bidi="ar"/>
        </w:rPr>
      </w:pP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zh-CN"/>
        </w:rPr>
        <w:t>三</w:t>
      </w:r>
      <w:r>
        <w:rPr>
          <w:rFonts w:hint="eastAsia" w:ascii="宋体" w:hAnsi="宋体" w:eastAsia="宋体" w:cs="宋体"/>
          <w:b/>
          <w:color w:val="auto"/>
          <w:sz w:val="28"/>
          <w:szCs w:val="28"/>
          <w:highlight w:val="none"/>
        </w:rPr>
        <w:t>）</w:t>
      </w:r>
      <w:r>
        <w:rPr>
          <w:rFonts w:hint="eastAsia" w:ascii="宋体" w:hAnsi="宋体" w:eastAsia="宋体" w:cs="宋体"/>
          <w:b/>
          <w:color w:val="auto"/>
          <w:sz w:val="28"/>
          <w:szCs w:val="28"/>
          <w:highlight w:val="none"/>
          <w:lang w:val="zh-CN"/>
        </w:rPr>
        <w:t>商务技术分</w:t>
      </w:r>
      <w:r>
        <w:rPr>
          <w:rFonts w:hint="eastAsia" w:ascii="宋体" w:hAnsi="宋体" w:eastAsia="宋体" w:cs="宋体"/>
          <w:color w:val="auto"/>
          <w:kern w:val="0"/>
          <w:sz w:val="28"/>
          <w:szCs w:val="28"/>
          <w:highlight w:val="none"/>
          <w:lang w:bidi="ar"/>
        </w:rPr>
        <w:t>：</w:t>
      </w:r>
      <w:r>
        <w:rPr>
          <w:rFonts w:hint="eastAsia" w:ascii="宋体" w:hAnsi="宋体" w:eastAsia="宋体" w:cs="宋体"/>
          <w:color w:val="auto"/>
          <w:kern w:val="0"/>
          <w:sz w:val="28"/>
          <w:szCs w:val="28"/>
          <w:highlight w:val="none"/>
          <w:lang w:val="en-US" w:eastAsia="zh-CN" w:bidi="ar"/>
        </w:rPr>
        <w:t>7</w:t>
      </w:r>
      <w:r>
        <w:rPr>
          <w:rFonts w:hint="eastAsia" w:ascii="宋体" w:hAnsi="宋体" w:eastAsia="宋体" w:cs="宋体"/>
          <w:color w:val="auto"/>
          <w:kern w:val="0"/>
          <w:sz w:val="28"/>
          <w:szCs w:val="28"/>
          <w:highlight w:val="none"/>
          <w:lang w:bidi="ar"/>
        </w:rPr>
        <w:t>0分</w:t>
      </w:r>
    </w:p>
    <w:p w14:paraId="7AABEC75">
      <w:pPr>
        <w:autoSpaceDE w:val="0"/>
        <w:autoSpaceDN w:val="0"/>
        <w:adjustRightInd w:val="0"/>
        <w:snapToGrid w:val="0"/>
        <w:spacing w:line="42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各投标人得分为评委会成员评分的算术平均分，分值保留小数点后两位。</w:t>
      </w:r>
    </w:p>
    <w:tbl>
      <w:tblPr>
        <w:tblStyle w:val="36"/>
        <w:tblW w:w="4998" w:type="pct"/>
        <w:jc w:val="center"/>
        <w:tblLayout w:type="autofit"/>
        <w:tblCellMar>
          <w:top w:w="0" w:type="dxa"/>
          <w:left w:w="108" w:type="dxa"/>
          <w:bottom w:w="0" w:type="dxa"/>
          <w:right w:w="108" w:type="dxa"/>
        </w:tblCellMar>
      </w:tblPr>
      <w:tblGrid>
        <w:gridCol w:w="829"/>
        <w:gridCol w:w="1378"/>
        <w:gridCol w:w="5715"/>
        <w:gridCol w:w="603"/>
      </w:tblGrid>
      <w:tr w14:paraId="7BFF68B9">
        <w:tblPrEx>
          <w:tblCellMar>
            <w:top w:w="0" w:type="dxa"/>
            <w:left w:w="108" w:type="dxa"/>
            <w:bottom w:w="0" w:type="dxa"/>
            <w:right w:w="108" w:type="dxa"/>
          </w:tblCellMar>
        </w:tblPrEx>
        <w:trPr>
          <w:trHeight w:val="90" w:hRule="atLeast"/>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3D5E910F">
            <w:pPr>
              <w:keepNext w:val="0"/>
              <w:keepLines w:val="0"/>
              <w:pageBreakBefore w:val="0"/>
              <w:widowControl w:val="0"/>
              <w:kinsoku/>
              <w:overflowPunct/>
              <w:topLinePunct w:val="0"/>
              <w:bidi w:val="0"/>
              <w:snapToGrid/>
              <w:spacing w:line="460" w:lineRule="exact"/>
              <w:ind w:left="0" w:firstLine="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808" w:type="pct"/>
            <w:tcBorders>
              <w:top w:val="single" w:color="auto" w:sz="4" w:space="0"/>
              <w:left w:val="nil"/>
              <w:bottom w:val="single" w:color="auto" w:sz="4" w:space="0"/>
              <w:right w:val="single" w:color="auto" w:sz="4" w:space="0"/>
            </w:tcBorders>
            <w:noWrap w:val="0"/>
            <w:vAlign w:val="center"/>
          </w:tcPr>
          <w:p w14:paraId="53570767">
            <w:pPr>
              <w:keepNext w:val="0"/>
              <w:keepLines w:val="0"/>
              <w:pageBreakBefore w:val="0"/>
              <w:widowControl w:val="0"/>
              <w:kinsoku/>
              <w:overflowPunct/>
              <w:topLinePunct w:val="0"/>
              <w:bidi w:val="0"/>
              <w:snapToGrid/>
              <w:spacing w:line="460" w:lineRule="exact"/>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评审内容</w:t>
            </w:r>
          </w:p>
        </w:tc>
        <w:tc>
          <w:tcPr>
            <w:tcW w:w="3351" w:type="pct"/>
            <w:tcBorders>
              <w:top w:val="single" w:color="auto" w:sz="4" w:space="0"/>
              <w:left w:val="nil"/>
              <w:bottom w:val="single" w:color="auto" w:sz="4" w:space="0"/>
              <w:right w:val="single" w:color="auto" w:sz="4" w:space="0"/>
            </w:tcBorders>
            <w:noWrap w:val="0"/>
            <w:vAlign w:val="center"/>
          </w:tcPr>
          <w:p w14:paraId="4D1B1C48">
            <w:pPr>
              <w:keepNext w:val="0"/>
              <w:keepLines w:val="0"/>
              <w:pageBreakBefore w:val="0"/>
              <w:widowControl w:val="0"/>
              <w:kinsoku/>
              <w:overflowPunct/>
              <w:topLinePunct w:val="0"/>
              <w:bidi w:val="0"/>
              <w:snapToGrid/>
              <w:spacing w:line="460" w:lineRule="exact"/>
              <w:ind w:left="0" w:firstLine="0"/>
              <w:jc w:val="center"/>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评审细则</w:t>
            </w:r>
          </w:p>
        </w:tc>
        <w:tc>
          <w:tcPr>
            <w:tcW w:w="353" w:type="pct"/>
            <w:tcBorders>
              <w:top w:val="single" w:color="auto" w:sz="4" w:space="0"/>
              <w:left w:val="nil"/>
              <w:bottom w:val="single" w:color="auto" w:sz="4" w:space="0"/>
              <w:right w:val="single" w:color="auto" w:sz="4" w:space="0"/>
            </w:tcBorders>
            <w:noWrap w:val="0"/>
            <w:vAlign w:val="center"/>
          </w:tcPr>
          <w:p w14:paraId="0B02F8F4">
            <w:pPr>
              <w:keepNext w:val="0"/>
              <w:keepLines w:val="0"/>
              <w:pageBreakBefore w:val="0"/>
              <w:widowControl w:val="0"/>
              <w:kinsoku/>
              <w:overflowPunct/>
              <w:topLinePunct w:val="0"/>
              <w:bidi w:val="0"/>
              <w:snapToGrid/>
              <w:spacing w:line="460" w:lineRule="exact"/>
              <w:ind w:left="0" w:firstLine="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r>
      <w:tr w14:paraId="4F0BE465">
        <w:tblPrEx>
          <w:tblCellMar>
            <w:top w:w="0" w:type="dxa"/>
            <w:left w:w="108" w:type="dxa"/>
            <w:bottom w:w="0" w:type="dxa"/>
            <w:right w:w="108" w:type="dxa"/>
          </w:tblCellMar>
        </w:tblPrEx>
        <w:trPr>
          <w:trHeight w:val="526" w:hRule="atLeast"/>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5CFB8BA6">
            <w:pPr>
              <w:keepNext w:val="0"/>
              <w:keepLines w:val="0"/>
              <w:pageBreakBefore w:val="0"/>
              <w:widowControl w:val="0"/>
              <w:kinsoku/>
              <w:wordWrap w:val="0"/>
              <w:overflowPunct/>
              <w:topLinePunct w:val="0"/>
              <w:autoSpaceDE w:val="0"/>
              <w:autoSpaceDN w:val="0"/>
              <w:bidi w:val="0"/>
              <w:snapToGrid/>
              <w:spacing w:line="460" w:lineRule="exact"/>
              <w:ind w:left="0" w:firstLine="0"/>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w:t>
            </w:r>
          </w:p>
        </w:tc>
        <w:tc>
          <w:tcPr>
            <w:tcW w:w="808" w:type="pct"/>
            <w:tcBorders>
              <w:top w:val="single" w:color="auto" w:sz="4" w:space="0"/>
              <w:left w:val="single" w:color="auto" w:sz="4" w:space="0"/>
              <w:bottom w:val="single" w:color="auto" w:sz="4" w:space="0"/>
              <w:right w:val="single" w:color="auto" w:sz="4" w:space="0"/>
            </w:tcBorders>
            <w:noWrap w:val="0"/>
            <w:vAlign w:val="center"/>
          </w:tcPr>
          <w:p w14:paraId="6D0B899E">
            <w:pPr>
              <w:keepNext w:val="0"/>
              <w:keepLines w:val="0"/>
              <w:pageBreakBefore w:val="0"/>
              <w:widowControl w:val="0"/>
              <w:kinsoku/>
              <w:wordWrap w:val="0"/>
              <w:overflowPunct/>
              <w:topLinePunct w:val="0"/>
              <w:autoSpaceDE w:val="0"/>
              <w:autoSpaceDN w:val="0"/>
              <w:bidi w:val="0"/>
              <w:snapToGrid/>
              <w:spacing w:line="460" w:lineRule="exact"/>
              <w:ind w:left="0" w:firstLine="0"/>
              <w:jc w:val="center"/>
              <w:textAlignment w:val="baseline"/>
              <w:rPr>
                <w:rFonts w:hint="eastAsia" w:ascii="宋体" w:hAnsi="宋体" w:eastAsia="宋体" w:cs="宋体"/>
                <w:bCs/>
                <w:color w:val="auto"/>
                <w:sz w:val="24"/>
                <w:szCs w:val="24"/>
                <w:highlight w:val="none"/>
                <w:lang w:val="en-US" w:eastAsia="zh-CN"/>
              </w:rPr>
            </w:pPr>
            <w:r>
              <w:rPr>
                <w:rFonts w:hint="eastAsia" w:ascii="宋体" w:hAnsi="宋体" w:eastAsia="宋体" w:cs="宋体"/>
                <w:color w:val="auto"/>
                <w:sz w:val="24"/>
                <w:szCs w:val="24"/>
                <w:highlight w:val="none"/>
              </w:rPr>
              <w:t>类似业绩</w:t>
            </w:r>
          </w:p>
        </w:tc>
        <w:tc>
          <w:tcPr>
            <w:tcW w:w="3351" w:type="pct"/>
            <w:tcBorders>
              <w:top w:val="single" w:color="auto" w:sz="4" w:space="0"/>
              <w:left w:val="single" w:color="auto" w:sz="4" w:space="0"/>
              <w:bottom w:val="single" w:color="auto" w:sz="4" w:space="0"/>
              <w:right w:val="single" w:color="auto" w:sz="4" w:space="0"/>
            </w:tcBorders>
            <w:noWrap w:val="0"/>
            <w:vAlign w:val="center"/>
          </w:tcPr>
          <w:p w14:paraId="1B685A79">
            <w:pPr>
              <w:keepNext w:val="0"/>
              <w:keepLines w:val="0"/>
              <w:pageBreakBefore w:val="0"/>
              <w:widowControl w:val="0"/>
              <w:kinsoku/>
              <w:wordWrap w:val="0"/>
              <w:overflowPunct/>
              <w:topLinePunct w:val="0"/>
              <w:autoSpaceDE w:val="0"/>
              <w:autoSpaceDN w:val="0"/>
              <w:bidi w:val="0"/>
              <w:snapToGrid/>
              <w:spacing w:line="460" w:lineRule="exact"/>
              <w:ind w:left="0" w:firstLine="0"/>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rPr>
              <w:t>投标</w:t>
            </w:r>
            <w:r>
              <w:rPr>
                <w:rFonts w:hint="eastAsia" w:ascii="宋体" w:hAnsi="宋体" w:eastAsia="宋体" w:cs="宋体"/>
                <w:color w:val="auto"/>
                <w:sz w:val="24"/>
                <w:szCs w:val="24"/>
                <w:highlight w:val="none"/>
                <w:shd w:val="clear" w:color="auto" w:fill="FFFFFF"/>
                <w:lang w:val="en-US" w:eastAsia="zh-CN"/>
              </w:rPr>
              <w:t>人</w:t>
            </w:r>
            <w:r>
              <w:rPr>
                <w:rFonts w:hint="eastAsia" w:ascii="宋体" w:hAnsi="宋体" w:eastAsia="宋体" w:cs="宋体"/>
                <w:color w:val="auto"/>
                <w:sz w:val="24"/>
                <w:szCs w:val="24"/>
                <w:highlight w:val="none"/>
                <w:shd w:val="clear" w:color="auto" w:fill="FFFFFF"/>
              </w:rPr>
              <w:t>提供2020年1月1日</w:t>
            </w:r>
            <w:r>
              <w:rPr>
                <w:rFonts w:hint="eastAsia" w:ascii="宋体" w:hAnsi="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时间以合同签订时间为准</w:t>
            </w:r>
            <w:r>
              <w:rPr>
                <w:rFonts w:hint="eastAsia" w:ascii="宋体" w:hAnsi="宋体" w:cs="宋体"/>
                <w:color w:val="auto"/>
                <w:sz w:val="24"/>
                <w:szCs w:val="24"/>
                <w:highlight w:val="none"/>
                <w:shd w:val="clear" w:color="auto" w:fill="FFFFFF"/>
                <w:lang w:eastAsia="zh-CN"/>
              </w:rPr>
              <w:t>）</w:t>
            </w:r>
            <w:r>
              <w:rPr>
                <w:rFonts w:hint="eastAsia" w:ascii="宋体" w:hAnsi="宋体" w:eastAsia="宋体" w:cs="宋体"/>
                <w:color w:val="auto"/>
                <w:sz w:val="24"/>
                <w:szCs w:val="24"/>
                <w:highlight w:val="none"/>
                <w:shd w:val="clear" w:color="auto" w:fill="FFFFFF"/>
              </w:rPr>
              <w:t>以来承接类似的消防维保服务业绩，每提供一份得</w:t>
            </w:r>
            <w:r>
              <w:rPr>
                <w:rFonts w:hint="eastAsia" w:ascii="宋体" w:hAnsi="宋体" w:eastAsia="宋体" w:cs="宋体"/>
                <w:color w:val="auto"/>
                <w:sz w:val="24"/>
                <w:szCs w:val="24"/>
                <w:highlight w:val="none"/>
                <w:shd w:val="clear" w:color="auto" w:fill="FFFFFF"/>
                <w:lang w:val="en-US" w:eastAsia="zh-CN"/>
              </w:rPr>
              <w:t>3</w:t>
            </w:r>
            <w:r>
              <w:rPr>
                <w:rFonts w:hint="eastAsia" w:ascii="宋体" w:hAnsi="宋体" w:eastAsia="宋体" w:cs="宋体"/>
                <w:color w:val="auto"/>
                <w:sz w:val="24"/>
                <w:szCs w:val="24"/>
                <w:highlight w:val="none"/>
                <w:shd w:val="clear" w:color="auto" w:fill="FFFFFF"/>
              </w:rPr>
              <w:t>分，</w:t>
            </w:r>
            <w:r>
              <w:rPr>
                <w:rFonts w:hint="eastAsia" w:ascii="宋体" w:hAnsi="宋体" w:eastAsia="宋体" w:cs="宋体"/>
                <w:color w:val="auto"/>
                <w:sz w:val="24"/>
                <w:szCs w:val="24"/>
                <w:highlight w:val="none"/>
                <w:shd w:val="clear" w:color="auto" w:fill="FFFFFF"/>
              </w:rPr>
              <w:t>最多得</w:t>
            </w:r>
            <w:r>
              <w:rPr>
                <w:rFonts w:hint="eastAsia" w:ascii="宋体" w:hAnsi="宋体" w:eastAsia="宋体" w:cs="宋体"/>
                <w:color w:val="auto"/>
                <w:sz w:val="24"/>
                <w:szCs w:val="24"/>
                <w:highlight w:val="none"/>
                <w:shd w:val="clear" w:color="auto" w:fill="FFFFFF"/>
                <w:lang w:val="en-US" w:eastAsia="zh-CN"/>
              </w:rPr>
              <w:t>12</w:t>
            </w:r>
            <w:r>
              <w:rPr>
                <w:rFonts w:hint="eastAsia" w:ascii="宋体" w:hAnsi="宋体" w:eastAsia="宋体" w:cs="宋体"/>
                <w:color w:val="auto"/>
                <w:sz w:val="24"/>
                <w:szCs w:val="24"/>
                <w:highlight w:val="none"/>
                <w:shd w:val="clear" w:color="auto" w:fill="FFFFFF"/>
              </w:rPr>
              <w:t>分</w:t>
            </w:r>
            <w:r>
              <w:rPr>
                <w:rFonts w:hint="eastAsia" w:ascii="宋体" w:hAnsi="宋体" w:eastAsia="宋体" w:cs="宋体"/>
                <w:color w:val="auto"/>
                <w:sz w:val="24"/>
                <w:szCs w:val="24"/>
                <w:highlight w:val="none"/>
                <w:shd w:val="clear" w:color="auto" w:fill="FFFFFF"/>
                <w:lang w:eastAsia="zh-CN"/>
              </w:rPr>
              <w:t>；</w:t>
            </w:r>
            <w:r>
              <w:rPr>
                <w:rFonts w:hint="eastAsia" w:ascii="宋体" w:hAnsi="宋体" w:cs="宋体"/>
                <w:color w:val="auto"/>
                <w:sz w:val="24"/>
                <w:szCs w:val="24"/>
                <w:highlight w:val="none"/>
                <w:shd w:val="clear" w:color="auto" w:fill="FFFFFF"/>
                <w:lang w:val="en-US" w:eastAsia="zh-CN"/>
              </w:rPr>
              <w:t>以上业绩中为学校</w:t>
            </w:r>
            <w:r>
              <w:rPr>
                <w:rFonts w:hint="eastAsia" w:ascii="宋体" w:hAnsi="宋体" w:eastAsia="宋体" w:cs="宋体"/>
                <w:color w:val="auto"/>
                <w:sz w:val="24"/>
                <w:szCs w:val="24"/>
                <w:highlight w:val="none"/>
                <w:shd w:val="clear" w:color="auto" w:fill="FFFFFF"/>
                <w:lang w:val="en-US" w:eastAsia="zh-CN"/>
              </w:rPr>
              <w:t>或机关事业单位类似消防维保服务业绩的，</w:t>
            </w:r>
            <w:r>
              <w:rPr>
                <w:rFonts w:hint="eastAsia" w:ascii="宋体" w:hAnsi="宋体" w:cs="宋体"/>
                <w:color w:val="auto"/>
                <w:sz w:val="24"/>
                <w:szCs w:val="24"/>
                <w:highlight w:val="none"/>
                <w:shd w:val="clear" w:color="auto" w:fill="FFFFFF"/>
                <w:lang w:val="en-US" w:eastAsia="zh-CN"/>
              </w:rPr>
              <w:t>每个再加</w:t>
            </w:r>
            <w:r>
              <w:rPr>
                <w:rFonts w:hint="eastAsia" w:ascii="宋体" w:hAnsi="宋体" w:eastAsia="宋体" w:cs="宋体"/>
                <w:color w:val="auto"/>
                <w:sz w:val="24"/>
                <w:szCs w:val="24"/>
                <w:highlight w:val="none"/>
                <w:shd w:val="clear" w:color="auto" w:fill="FFFFFF"/>
                <w:lang w:val="en-US" w:eastAsia="zh-CN"/>
              </w:rPr>
              <w:t>1.5分，最多</w:t>
            </w:r>
            <w:r>
              <w:rPr>
                <w:rFonts w:hint="eastAsia" w:ascii="宋体" w:hAnsi="宋体" w:cs="宋体"/>
                <w:color w:val="auto"/>
                <w:sz w:val="24"/>
                <w:szCs w:val="24"/>
                <w:highlight w:val="none"/>
                <w:shd w:val="clear" w:color="auto" w:fill="FFFFFF"/>
                <w:lang w:val="en-US" w:eastAsia="zh-CN"/>
              </w:rPr>
              <w:t>加6</w:t>
            </w:r>
            <w:r>
              <w:rPr>
                <w:rFonts w:hint="eastAsia" w:ascii="宋体" w:hAnsi="宋体" w:eastAsia="宋体" w:cs="宋体"/>
                <w:color w:val="auto"/>
                <w:sz w:val="24"/>
                <w:szCs w:val="24"/>
                <w:highlight w:val="none"/>
                <w:shd w:val="clear" w:color="auto" w:fill="FFFFFF"/>
                <w:lang w:val="en-US" w:eastAsia="zh-CN"/>
              </w:rPr>
              <w:t>分</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本项最高18分，</w:t>
            </w:r>
            <w:r>
              <w:rPr>
                <w:rFonts w:hint="eastAsia" w:ascii="宋体" w:hAnsi="宋体" w:eastAsia="宋体" w:cs="宋体"/>
                <w:color w:val="auto"/>
                <w:sz w:val="24"/>
                <w:szCs w:val="24"/>
                <w:highlight w:val="none"/>
                <w:shd w:val="clear" w:color="auto" w:fill="FFFFFF"/>
                <w:lang w:val="en-US" w:eastAsia="zh-CN"/>
              </w:rPr>
              <w:t>提供合同复印件、付款发票及对应的银行回执并加盖投标人公章。</w:t>
            </w:r>
          </w:p>
        </w:tc>
        <w:tc>
          <w:tcPr>
            <w:tcW w:w="353" w:type="pct"/>
            <w:tcBorders>
              <w:top w:val="single" w:color="auto" w:sz="4" w:space="0"/>
              <w:left w:val="nil"/>
              <w:bottom w:val="single" w:color="auto" w:sz="4" w:space="0"/>
              <w:right w:val="single" w:color="auto" w:sz="4" w:space="0"/>
            </w:tcBorders>
            <w:noWrap w:val="0"/>
            <w:vAlign w:val="center"/>
          </w:tcPr>
          <w:p w14:paraId="34EA7559">
            <w:pPr>
              <w:pStyle w:val="35"/>
              <w:ind w:left="0" w:leftChars="0" w:firstLine="0" w:firstLineChars="0"/>
              <w:rPr>
                <w:rFonts w:hint="default"/>
                <w:color w:val="auto"/>
                <w:highlight w:val="none"/>
                <w:lang w:val="en-US" w:eastAsia="zh-CN"/>
              </w:rPr>
            </w:pPr>
            <w:r>
              <w:rPr>
                <w:rFonts w:hint="eastAsia" w:ascii="宋体" w:hAnsi="宋体" w:eastAsia="宋体" w:cs="宋体"/>
                <w:color w:val="auto"/>
                <w:sz w:val="24"/>
                <w:szCs w:val="24"/>
                <w:highlight w:val="none"/>
                <w:lang w:val="en-US" w:eastAsia="zh-CN"/>
              </w:rPr>
              <w:t>18</w:t>
            </w:r>
          </w:p>
        </w:tc>
      </w:tr>
      <w:tr w14:paraId="2817A239">
        <w:tblPrEx>
          <w:tblCellMar>
            <w:top w:w="0" w:type="dxa"/>
            <w:left w:w="108" w:type="dxa"/>
            <w:bottom w:w="0" w:type="dxa"/>
            <w:right w:w="108" w:type="dxa"/>
          </w:tblCellMar>
        </w:tblPrEx>
        <w:trPr>
          <w:trHeight w:val="666" w:hRule="atLeast"/>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535D5119">
            <w:pPr>
              <w:keepNext w:val="0"/>
              <w:keepLines w:val="0"/>
              <w:pageBreakBefore w:val="0"/>
              <w:widowControl w:val="0"/>
              <w:kinsoku/>
              <w:wordWrap w:val="0"/>
              <w:overflowPunct/>
              <w:topLinePunct w:val="0"/>
              <w:autoSpaceDE w:val="0"/>
              <w:autoSpaceDN w:val="0"/>
              <w:bidi w:val="0"/>
              <w:snapToGrid/>
              <w:spacing w:line="460" w:lineRule="exact"/>
              <w:ind w:left="0" w:firstLine="0"/>
              <w:jc w:val="center"/>
              <w:textAlignment w:val="baseline"/>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2</w:t>
            </w:r>
          </w:p>
        </w:tc>
        <w:tc>
          <w:tcPr>
            <w:tcW w:w="808" w:type="pct"/>
            <w:tcBorders>
              <w:top w:val="single" w:color="auto" w:sz="4" w:space="0"/>
              <w:left w:val="single" w:color="auto" w:sz="4" w:space="0"/>
              <w:bottom w:val="single" w:color="auto" w:sz="4" w:space="0"/>
              <w:right w:val="single" w:color="auto" w:sz="4" w:space="0"/>
            </w:tcBorders>
            <w:noWrap w:val="0"/>
            <w:vAlign w:val="center"/>
          </w:tcPr>
          <w:p w14:paraId="61F238F3">
            <w:pPr>
              <w:keepNext w:val="0"/>
              <w:keepLines w:val="0"/>
              <w:pageBreakBefore w:val="0"/>
              <w:widowControl w:val="0"/>
              <w:kinsoku/>
              <w:overflowPunct/>
              <w:topLinePunct w:val="0"/>
              <w:bidi w:val="0"/>
              <w:snapToGrid/>
              <w:spacing w:line="460" w:lineRule="exact"/>
              <w:ind w:left="0" w:firstLine="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服务评价</w:t>
            </w:r>
          </w:p>
        </w:tc>
        <w:tc>
          <w:tcPr>
            <w:tcW w:w="3351" w:type="pct"/>
            <w:tcBorders>
              <w:top w:val="single" w:color="auto" w:sz="4" w:space="0"/>
              <w:left w:val="single" w:color="auto" w:sz="4" w:space="0"/>
              <w:bottom w:val="single" w:color="auto" w:sz="4" w:space="0"/>
              <w:right w:val="single" w:color="auto" w:sz="4" w:space="0"/>
            </w:tcBorders>
            <w:noWrap w:val="0"/>
            <w:vAlign w:val="center"/>
          </w:tcPr>
          <w:p w14:paraId="1AA1BDEF">
            <w:pPr>
              <w:keepNext w:val="0"/>
              <w:keepLines w:val="0"/>
              <w:pageBreakBefore w:val="0"/>
              <w:widowControl w:val="0"/>
              <w:kinsoku/>
              <w:overflowPunct/>
              <w:topLinePunct w:val="0"/>
              <w:autoSpaceDE w:val="0"/>
              <w:autoSpaceDN w:val="0"/>
              <w:bidi w:val="0"/>
              <w:adjustRightInd w:val="0"/>
              <w:snapToGrid/>
              <w:spacing w:line="460" w:lineRule="exact"/>
              <w:ind w:left="0" w:firstLine="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业主单位对</w:t>
            </w: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人</w:t>
            </w:r>
            <w:r>
              <w:rPr>
                <w:rFonts w:hint="eastAsia" w:ascii="宋体" w:hAnsi="宋体" w:cs="宋体"/>
                <w:color w:val="auto"/>
                <w:sz w:val="24"/>
                <w:szCs w:val="24"/>
                <w:highlight w:val="none"/>
                <w:lang w:eastAsia="zh-CN"/>
              </w:rPr>
              <w:t>在“类似业绩”中所提供的</w:t>
            </w:r>
            <w:r>
              <w:rPr>
                <w:rFonts w:hint="eastAsia" w:ascii="宋体" w:hAnsi="宋体" w:eastAsia="宋体" w:cs="宋体"/>
                <w:color w:val="auto"/>
                <w:sz w:val="24"/>
                <w:szCs w:val="24"/>
                <w:highlight w:val="none"/>
              </w:rPr>
              <w:t>消防维保案例</w:t>
            </w:r>
            <w:r>
              <w:rPr>
                <w:rFonts w:hint="eastAsia" w:ascii="宋体" w:hAnsi="宋体" w:eastAsia="宋体" w:cs="宋体"/>
                <w:color w:val="auto"/>
                <w:sz w:val="24"/>
                <w:szCs w:val="24"/>
                <w:highlight w:val="none"/>
                <w:lang w:val="en-US" w:eastAsia="zh-CN"/>
              </w:rPr>
              <w:t>的综合考评：</w:t>
            </w:r>
          </w:p>
          <w:p w14:paraId="6EA46831">
            <w:pPr>
              <w:keepNext w:val="0"/>
              <w:keepLines w:val="0"/>
              <w:pageBreakBefore w:val="0"/>
              <w:widowControl w:val="0"/>
              <w:numPr>
                <w:ilvl w:val="0"/>
                <w:numId w:val="0"/>
              </w:numPr>
              <w:kinsoku/>
              <w:overflowPunct/>
              <w:topLinePunct w:val="0"/>
              <w:autoSpaceDE w:val="0"/>
              <w:autoSpaceDN w:val="0"/>
              <w:bidi w:val="0"/>
              <w:adjustRightInd w:val="0"/>
              <w:snapToGrid/>
              <w:spacing w:line="460" w:lineRule="exact"/>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sz w:val="24"/>
                <w:szCs w:val="24"/>
                <w:highlight w:val="none"/>
                <w:lang w:val="en-US" w:eastAsia="zh-CN"/>
              </w:rPr>
              <w:t>每得1个90分以上优秀的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分，</w:t>
            </w:r>
          </w:p>
          <w:p w14:paraId="32981499">
            <w:pPr>
              <w:keepNext w:val="0"/>
              <w:keepLines w:val="0"/>
              <w:pageBreakBefore w:val="0"/>
              <w:widowControl w:val="0"/>
              <w:numPr>
                <w:ilvl w:val="0"/>
                <w:numId w:val="0"/>
              </w:numPr>
              <w:kinsoku/>
              <w:overflowPunct/>
              <w:topLinePunct w:val="0"/>
              <w:autoSpaceDE w:val="0"/>
              <w:autoSpaceDN w:val="0"/>
              <w:bidi w:val="0"/>
              <w:adjustRightInd w:val="0"/>
              <w:snapToGrid/>
              <w:spacing w:line="460" w:lineRule="exact"/>
              <w:ind w:left="0" w:leftChars="0" w:firstLine="0" w:firstLine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fill="FFFFFF"/>
                <w:lang w:val="en-US" w:eastAsia="zh-CN" w:bidi="ar-SA"/>
              </w:rPr>
              <w:t>2、</w:t>
            </w:r>
            <w:r>
              <w:rPr>
                <w:rFonts w:hint="eastAsia" w:ascii="宋体" w:hAnsi="宋体" w:cs="宋体"/>
                <w:color w:val="auto"/>
                <w:sz w:val="24"/>
                <w:szCs w:val="24"/>
                <w:highlight w:val="none"/>
                <w:lang w:val="en-US" w:eastAsia="zh-CN"/>
              </w:rPr>
              <w:t>每得1个80分以上良好的</w:t>
            </w:r>
            <w:r>
              <w:rPr>
                <w:rFonts w:hint="eastAsia" w:ascii="宋体" w:hAnsi="宋体" w:eastAsia="宋体" w:cs="宋体"/>
                <w:color w:val="auto"/>
                <w:sz w:val="24"/>
                <w:szCs w:val="24"/>
                <w:highlight w:val="none"/>
              </w:rPr>
              <w:t>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分</w:t>
            </w:r>
            <w:r>
              <w:rPr>
                <w:rFonts w:hint="eastAsia" w:ascii="宋体" w:hAnsi="宋体" w:cs="宋体"/>
                <w:color w:val="auto"/>
                <w:sz w:val="24"/>
                <w:szCs w:val="24"/>
                <w:highlight w:val="none"/>
                <w:lang w:eastAsia="zh-CN"/>
              </w:rPr>
              <w:t>，</w:t>
            </w:r>
          </w:p>
          <w:p w14:paraId="2A5A0A7B">
            <w:pPr>
              <w:keepNext w:val="0"/>
              <w:keepLines w:val="0"/>
              <w:pageBreakBefore w:val="0"/>
              <w:widowControl w:val="0"/>
              <w:numPr>
                <w:ilvl w:val="0"/>
                <w:numId w:val="0"/>
              </w:numPr>
              <w:kinsoku/>
              <w:overflowPunct/>
              <w:topLinePunct w:val="0"/>
              <w:autoSpaceDE w:val="0"/>
              <w:autoSpaceDN w:val="0"/>
              <w:bidi w:val="0"/>
              <w:adjustRightInd w:val="0"/>
              <w:snapToGrid/>
              <w:spacing w:line="460" w:lineRule="exact"/>
              <w:ind w:left="0" w:leftChars="0" w:firstLine="0" w:firstLine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fill="FFFFFF"/>
                <w:lang w:val="en-US" w:eastAsia="zh-CN" w:bidi="ar-SA"/>
              </w:rPr>
              <w:t>3、</w:t>
            </w:r>
            <w:r>
              <w:rPr>
                <w:rFonts w:hint="eastAsia" w:ascii="宋体" w:hAnsi="宋体" w:cs="宋体"/>
                <w:color w:val="auto"/>
                <w:sz w:val="24"/>
                <w:szCs w:val="24"/>
                <w:highlight w:val="none"/>
                <w:lang w:val="en-US" w:eastAsia="zh-CN"/>
              </w:rPr>
              <w:t>每得1个70分以上合格的得1分。</w:t>
            </w:r>
          </w:p>
          <w:p w14:paraId="67E68E62">
            <w:pPr>
              <w:keepNext w:val="0"/>
              <w:keepLines w:val="0"/>
              <w:pageBreakBefore w:val="0"/>
              <w:widowControl w:val="0"/>
              <w:numPr>
                <w:ilvl w:val="0"/>
                <w:numId w:val="0"/>
              </w:numPr>
              <w:kinsoku/>
              <w:overflowPunct/>
              <w:topLinePunct w:val="0"/>
              <w:autoSpaceDE w:val="0"/>
              <w:autoSpaceDN w:val="0"/>
              <w:bidi w:val="0"/>
              <w:adjustRightInd w:val="0"/>
              <w:snapToGrid/>
              <w:spacing w:line="460" w:lineRule="exact"/>
              <w:ind w:left="0" w:leftChars="0" w:firstLine="0" w:firstLineChars="0"/>
              <w:rPr>
                <w:rFonts w:hint="eastAsia" w:ascii="宋体" w:hAnsi="宋体" w:eastAsia="宋体" w:cs="宋体"/>
                <w:color w:val="auto"/>
                <w:sz w:val="24"/>
                <w:szCs w:val="24"/>
                <w:highlight w:val="none"/>
                <w:shd w:val="clear" w:color="auto" w:fill="FFFFFF"/>
                <w:lang w:val="en-US" w:eastAsia="zh-CN"/>
              </w:rPr>
            </w:pPr>
            <w:r>
              <w:rPr>
                <w:rFonts w:hint="eastAsia" w:ascii="宋体" w:hAnsi="宋体" w:cs="宋体"/>
                <w:color w:val="auto"/>
                <w:kern w:val="2"/>
                <w:sz w:val="24"/>
                <w:szCs w:val="24"/>
                <w:highlight w:val="none"/>
                <w:shd w:val="clear" w:fill="FFFFFF"/>
                <w:lang w:val="en-US" w:eastAsia="zh-CN" w:bidi="ar-SA"/>
              </w:rPr>
              <w:t>注：本项最多得12分。</w:t>
            </w:r>
            <w:r>
              <w:rPr>
                <w:rFonts w:hint="eastAsia" w:ascii="宋体" w:hAnsi="宋体" w:eastAsia="宋体" w:cs="宋体"/>
                <w:color w:val="auto"/>
                <w:sz w:val="24"/>
                <w:szCs w:val="24"/>
                <w:highlight w:val="none"/>
              </w:rPr>
              <w:t>需提供维保合同</w:t>
            </w:r>
            <w:r>
              <w:rPr>
                <w:rFonts w:hint="eastAsia" w:ascii="宋体" w:hAnsi="宋体" w:cs="宋体"/>
                <w:color w:val="auto"/>
                <w:sz w:val="24"/>
                <w:szCs w:val="24"/>
                <w:highlight w:val="none"/>
                <w:lang w:val="en-US" w:eastAsia="zh-CN"/>
              </w:rPr>
              <w:t>复印件</w:t>
            </w:r>
            <w:r>
              <w:rPr>
                <w:rFonts w:hint="eastAsia" w:ascii="宋体" w:hAnsi="宋体" w:eastAsia="宋体" w:cs="宋体"/>
                <w:color w:val="auto"/>
                <w:sz w:val="24"/>
                <w:szCs w:val="24"/>
                <w:highlight w:val="none"/>
              </w:rPr>
              <w:t>和</w:t>
            </w:r>
            <w:r>
              <w:rPr>
                <w:rFonts w:hint="eastAsia" w:ascii="宋体" w:hAnsi="宋体" w:cs="宋体"/>
                <w:color w:val="auto"/>
                <w:sz w:val="24"/>
                <w:szCs w:val="24"/>
                <w:highlight w:val="none"/>
                <w:lang w:val="en-US" w:eastAsia="zh-CN"/>
              </w:rPr>
              <w:t>附件8考评表（盖业主单位公章）</w:t>
            </w:r>
          </w:p>
        </w:tc>
        <w:tc>
          <w:tcPr>
            <w:tcW w:w="353" w:type="pct"/>
            <w:tcBorders>
              <w:top w:val="single" w:color="auto" w:sz="4" w:space="0"/>
              <w:left w:val="nil"/>
              <w:bottom w:val="single" w:color="auto" w:sz="4" w:space="0"/>
              <w:right w:val="single" w:color="auto" w:sz="4" w:space="0"/>
            </w:tcBorders>
            <w:noWrap w:val="0"/>
            <w:vAlign w:val="center"/>
          </w:tcPr>
          <w:p w14:paraId="0273F1B5">
            <w:pPr>
              <w:keepNext w:val="0"/>
              <w:keepLines w:val="0"/>
              <w:pageBreakBefore w:val="0"/>
              <w:widowControl w:val="0"/>
              <w:kinsoku/>
              <w:overflowPunct/>
              <w:topLinePunct w:val="0"/>
              <w:bidi w:val="0"/>
              <w:snapToGrid/>
              <w:spacing w:line="460" w:lineRule="exact"/>
              <w:ind w:left="0" w:firstLine="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cs="宋体"/>
                <w:color w:val="auto"/>
                <w:sz w:val="24"/>
                <w:szCs w:val="24"/>
                <w:highlight w:val="none"/>
                <w:lang w:val="en-US" w:eastAsia="zh-CN"/>
              </w:rPr>
              <w:t>2</w:t>
            </w:r>
          </w:p>
        </w:tc>
      </w:tr>
      <w:tr w14:paraId="2CE5A269">
        <w:tblPrEx>
          <w:tblCellMar>
            <w:top w:w="0" w:type="dxa"/>
            <w:left w:w="108" w:type="dxa"/>
            <w:bottom w:w="0" w:type="dxa"/>
            <w:right w:w="108" w:type="dxa"/>
          </w:tblCellMar>
        </w:tblPrEx>
        <w:trPr>
          <w:trHeight w:val="666" w:hRule="atLeast"/>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41EAD8F7">
            <w:pPr>
              <w:keepNext w:val="0"/>
              <w:keepLines w:val="0"/>
              <w:pageBreakBefore w:val="0"/>
              <w:widowControl w:val="0"/>
              <w:kinsoku/>
              <w:wordWrap w:val="0"/>
              <w:overflowPunct/>
              <w:topLinePunct w:val="0"/>
              <w:autoSpaceDE w:val="0"/>
              <w:autoSpaceDN w:val="0"/>
              <w:bidi w:val="0"/>
              <w:snapToGrid/>
              <w:spacing w:line="460" w:lineRule="exact"/>
              <w:ind w:left="0" w:firstLine="0"/>
              <w:jc w:val="center"/>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3</w:t>
            </w:r>
          </w:p>
        </w:tc>
        <w:tc>
          <w:tcPr>
            <w:tcW w:w="808" w:type="pct"/>
            <w:tcBorders>
              <w:top w:val="single" w:color="auto" w:sz="4" w:space="0"/>
              <w:left w:val="single" w:color="auto" w:sz="4" w:space="0"/>
              <w:bottom w:val="single" w:color="auto" w:sz="4" w:space="0"/>
              <w:right w:val="single" w:color="auto" w:sz="4" w:space="0"/>
            </w:tcBorders>
            <w:noWrap w:val="0"/>
            <w:vAlign w:val="center"/>
          </w:tcPr>
          <w:p w14:paraId="258BFC9D">
            <w:pPr>
              <w:keepNext w:val="0"/>
              <w:keepLines w:val="0"/>
              <w:pageBreakBefore w:val="0"/>
              <w:widowControl w:val="0"/>
              <w:kinsoku/>
              <w:overflowPunct/>
              <w:topLinePunct w:val="0"/>
              <w:bidi w:val="0"/>
              <w:snapToGrid/>
              <w:spacing w:line="460" w:lineRule="exact"/>
              <w:ind w:left="0" w:firstLine="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项目组负责人</w:t>
            </w:r>
            <w:r>
              <w:rPr>
                <w:rFonts w:hint="eastAsia" w:ascii="宋体" w:hAnsi="宋体" w:eastAsia="宋体" w:cs="宋体"/>
                <w:color w:val="auto"/>
                <w:sz w:val="24"/>
                <w:szCs w:val="24"/>
                <w:highlight w:val="none"/>
                <w:lang w:val="en-US" w:eastAsia="zh-CN"/>
              </w:rPr>
              <w:t>及其他人员配备</w:t>
            </w:r>
          </w:p>
        </w:tc>
        <w:tc>
          <w:tcPr>
            <w:tcW w:w="3351" w:type="pct"/>
            <w:tcBorders>
              <w:top w:val="single" w:color="auto" w:sz="4" w:space="0"/>
              <w:left w:val="single" w:color="auto" w:sz="4" w:space="0"/>
              <w:bottom w:val="single" w:color="auto" w:sz="4" w:space="0"/>
              <w:right w:val="single" w:color="auto" w:sz="4" w:space="0"/>
            </w:tcBorders>
            <w:noWrap w:val="0"/>
            <w:vAlign w:val="top"/>
          </w:tcPr>
          <w:p w14:paraId="05298B25">
            <w:pPr>
              <w:keepNext w:val="0"/>
              <w:keepLines w:val="0"/>
              <w:pageBreakBefore w:val="0"/>
              <w:widowControl w:val="0"/>
              <w:kinsoku/>
              <w:overflowPunct/>
              <w:topLinePunct w:val="0"/>
              <w:bidi w:val="0"/>
              <w:snapToGrid/>
              <w:spacing w:line="460" w:lineRule="exact"/>
              <w:ind w:left="0" w:firstLine="0"/>
              <w:jc w:val="left"/>
              <w:textAlignment w:val="baseline"/>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rPr>
              <w:t>对拟投入项目</w:t>
            </w:r>
            <w:r>
              <w:rPr>
                <w:rFonts w:hint="eastAsia" w:ascii="宋体" w:hAnsi="宋体" w:eastAsia="宋体" w:cs="宋体"/>
                <w:color w:val="auto"/>
                <w:sz w:val="24"/>
                <w:szCs w:val="24"/>
                <w:highlight w:val="none"/>
                <w:shd w:val="clear" w:color="auto" w:fill="FFFFFF"/>
                <w:lang w:val="en-US" w:eastAsia="zh-CN"/>
              </w:rPr>
              <w:t>主要</w:t>
            </w:r>
            <w:r>
              <w:rPr>
                <w:rFonts w:hint="eastAsia" w:ascii="宋体" w:hAnsi="宋体" w:eastAsia="宋体" w:cs="宋体"/>
                <w:color w:val="auto"/>
                <w:sz w:val="24"/>
                <w:szCs w:val="24"/>
                <w:highlight w:val="none"/>
                <w:shd w:val="clear" w:color="auto" w:fill="FFFFFF"/>
              </w:rPr>
              <w:t>成员专业能力进行对比评审</w:t>
            </w:r>
            <w:r>
              <w:rPr>
                <w:rFonts w:hint="eastAsia" w:ascii="宋体" w:hAnsi="宋体" w:eastAsia="宋体" w:cs="宋体"/>
                <w:color w:val="auto"/>
                <w:sz w:val="24"/>
                <w:szCs w:val="24"/>
                <w:highlight w:val="none"/>
                <w:shd w:val="clear" w:color="auto" w:fill="FFFFFF"/>
                <w:lang w:eastAsia="zh-CN"/>
              </w:rPr>
              <w:t>：</w:t>
            </w:r>
          </w:p>
          <w:p w14:paraId="2BF4D1DA">
            <w:pPr>
              <w:keepNext w:val="0"/>
              <w:keepLines w:val="0"/>
              <w:pageBreakBefore w:val="0"/>
              <w:widowControl w:val="0"/>
              <w:kinsoku/>
              <w:overflowPunct/>
              <w:topLinePunct w:val="0"/>
              <w:bidi w:val="0"/>
              <w:snapToGrid/>
              <w:spacing w:line="460" w:lineRule="exact"/>
              <w:ind w:left="0" w:firstLine="0"/>
              <w:jc w:val="left"/>
              <w:textAlignment w:val="baseline"/>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（1）项目负责人具有一级注册消防工程师资格证书，得</w:t>
            </w: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en-US" w:eastAsia="zh-CN"/>
              </w:rPr>
              <w:t>分，具有机电二级及以上建造师资格证书的得</w:t>
            </w:r>
            <w:r>
              <w:rPr>
                <w:rFonts w:hint="eastAsia" w:ascii="宋体" w:hAnsi="宋体" w:cs="宋体"/>
                <w:color w:val="auto"/>
                <w:sz w:val="24"/>
                <w:szCs w:val="24"/>
                <w:highlight w:val="none"/>
                <w:shd w:val="clear" w:color="auto" w:fill="FFFFFF"/>
                <w:lang w:val="en-US" w:eastAsia="zh-CN"/>
              </w:rPr>
              <w:t>1.5</w:t>
            </w:r>
            <w:r>
              <w:rPr>
                <w:rFonts w:hint="eastAsia" w:ascii="宋体" w:hAnsi="宋体" w:eastAsia="宋体" w:cs="宋体"/>
                <w:color w:val="auto"/>
                <w:sz w:val="24"/>
                <w:szCs w:val="24"/>
                <w:highlight w:val="none"/>
                <w:shd w:val="clear" w:color="auto" w:fill="FFFFFF"/>
                <w:lang w:val="en-US" w:eastAsia="zh-CN"/>
              </w:rPr>
              <w:t>分，具有中级及以上消防设施操作员资格证书的得</w:t>
            </w:r>
            <w:r>
              <w:rPr>
                <w:rFonts w:hint="eastAsia" w:ascii="宋体" w:hAnsi="宋体" w:cs="宋体"/>
                <w:color w:val="auto"/>
                <w:sz w:val="24"/>
                <w:szCs w:val="24"/>
                <w:highlight w:val="none"/>
                <w:shd w:val="clear" w:color="auto" w:fill="FFFFFF"/>
                <w:lang w:val="en-US" w:eastAsia="zh-CN"/>
              </w:rPr>
              <w:t>1</w:t>
            </w:r>
            <w:r>
              <w:rPr>
                <w:rFonts w:hint="eastAsia" w:ascii="宋体" w:hAnsi="宋体" w:eastAsia="宋体" w:cs="宋体"/>
                <w:color w:val="auto"/>
                <w:sz w:val="24"/>
                <w:szCs w:val="24"/>
                <w:highlight w:val="none"/>
                <w:shd w:val="clear" w:color="auto" w:fill="FFFFFF"/>
                <w:lang w:val="en-US" w:eastAsia="zh-CN"/>
              </w:rPr>
              <w:t>分；本项最高得</w:t>
            </w:r>
            <w:r>
              <w:rPr>
                <w:rFonts w:hint="eastAsia" w:ascii="宋体" w:hAnsi="宋体" w:cs="宋体"/>
                <w:color w:val="auto"/>
                <w:sz w:val="24"/>
                <w:szCs w:val="24"/>
                <w:highlight w:val="none"/>
                <w:shd w:val="clear" w:color="auto" w:fill="FFFFFF"/>
                <w:lang w:val="en-US" w:eastAsia="zh-CN"/>
              </w:rPr>
              <w:t>4.</w:t>
            </w:r>
            <w:r>
              <w:rPr>
                <w:rFonts w:hint="eastAsia" w:ascii="宋体" w:hAnsi="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lang w:val="en-US" w:eastAsia="zh-CN"/>
              </w:rPr>
              <w:t>分；</w:t>
            </w:r>
          </w:p>
          <w:p w14:paraId="40920C40">
            <w:pPr>
              <w:keepNext w:val="0"/>
              <w:keepLines w:val="0"/>
              <w:pageBreakBefore w:val="0"/>
              <w:widowControl w:val="0"/>
              <w:kinsoku/>
              <w:overflowPunct/>
              <w:topLinePunct w:val="0"/>
              <w:bidi w:val="0"/>
              <w:snapToGrid/>
              <w:spacing w:line="360" w:lineRule="auto"/>
              <w:ind w:left="0" w:firstLine="0"/>
              <w:jc w:val="left"/>
              <w:textAlignment w:val="baseline"/>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（2）技术负责人具有一级注册消防工程师资格证书，得</w:t>
            </w: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en-US" w:eastAsia="zh-CN"/>
              </w:rPr>
              <w:t>分，具有机电二级及以上建造师资格证书的得</w:t>
            </w:r>
            <w:r>
              <w:rPr>
                <w:rFonts w:hint="eastAsia" w:ascii="宋体" w:hAnsi="宋体" w:cs="宋体"/>
                <w:color w:val="auto"/>
                <w:sz w:val="24"/>
                <w:szCs w:val="24"/>
                <w:highlight w:val="none"/>
                <w:shd w:val="clear" w:color="auto" w:fill="FFFFFF"/>
                <w:lang w:val="en-US" w:eastAsia="zh-CN"/>
              </w:rPr>
              <w:t>1.5</w:t>
            </w:r>
            <w:r>
              <w:rPr>
                <w:rFonts w:hint="eastAsia" w:ascii="宋体" w:hAnsi="宋体" w:eastAsia="宋体" w:cs="宋体"/>
                <w:color w:val="auto"/>
                <w:sz w:val="24"/>
                <w:szCs w:val="24"/>
                <w:highlight w:val="none"/>
                <w:shd w:val="clear" w:color="auto" w:fill="FFFFFF"/>
                <w:lang w:val="en-US" w:eastAsia="zh-CN"/>
              </w:rPr>
              <w:t>分，本项最高得</w:t>
            </w:r>
            <w:r>
              <w:rPr>
                <w:rFonts w:hint="eastAsia" w:ascii="宋体" w:hAnsi="宋体" w:cs="宋体"/>
                <w:color w:val="auto"/>
                <w:sz w:val="24"/>
                <w:szCs w:val="24"/>
                <w:highlight w:val="none"/>
                <w:shd w:val="clear" w:color="auto" w:fill="FFFFFF"/>
                <w:lang w:val="en-US" w:eastAsia="zh-CN"/>
              </w:rPr>
              <w:t>3.5</w:t>
            </w:r>
            <w:r>
              <w:rPr>
                <w:rFonts w:hint="eastAsia" w:ascii="宋体" w:hAnsi="宋体" w:eastAsia="宋体" w:cs="宋体"/>
                <w:color w:val="auto"/>
                <w:sz w:val="24"/>
                <w:szCs w:val="24"/>
                <w:highlight w:val="none"/>
                <w:shd w:val="clear" w:color="auto" w:fill="FFFFFF"/>
                <w:lang w:val="en-US" w:eastAsia="zh-CN"/>
              </w:rPr>
              <w:t>分</w:t>
            </w:r>
            <w:r>
              <w:rPr>
                <w:rFonts w:hint="eastAsia" w:ascii="宋体" w:hAnsi="宋体" w:cs="宋体"/>
                <w:color w:val="auto"/>
                <w:sz w:val="24"/>
                <w:szCs w:val="24"/>
                <w:highlight w:val="none"/>
                <w:shd w:val="clear" w:color="auto" w:fill="FFFFFF"/>
                <w:lang w:val="en-US" w:eastAsia="zh-CN"/>
              </w:rPr>
              <w:t>；</w:t>
            </w:r>
          </w:p>
          <w:p w14:paraId="150FA0EC">
            <w:pPr>
              <w:keepNext w:val="0"/>
              <w:keepLines w:val="0"/>
              <w:pageBreakBefore w:val="0"/>
              <w:widowControl w:val="0"/>
              <w:kinsoku/>
              <w:overflowPunct/>
              <w:topLinePunct w:val="0"/>
              <w:bidi w:val="0"/>
              <w:snapToGrid/>
              <w:spacing w:line="460" w:lineRule="exact"/>
              <w:ind w:left="0" w:firstLine="0"/>
              <w:jc w:val="left"/>
              <w:textAlignment w:val="baseline"/>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2、对拟派项目驻校人员进行评审：具有</w:t>
            </w:r>
            <w:r>
              <w:rPr>
                <w:rFonts w:hint="eastAsia" w:ascii="宋体" w:hAnsi="宋体" w:eastAsia="宋体" w:cs="宋体"/>
                <w:i w:val="0"/>
                <w:iCs w:val="0"/>
                <w:caps w:val="0"/>
                <w:color w:val="auto"/>
                <w:spacing w:val="0"/>
                <w:sz w:val="24"/>
                <w:szCs w:val="24"/>
                <w:highlight w:val="none"/>
                <w:shd w:val="clear" w:color="auto" w:fill="FFFFFF"/>
              </w:rPr>
              <w:t>中级</w:t>
            </w:r>
            <w:r>
              <w:rPr>
                <w:rFonts w:hint="eastAsia" w:ascii="宋体" w:hAnsi="宋体" w:eastAsia="宋体" w:cs="宋体"/>
                <w:i w:val="0"/>
                <w:iCs w:val="0"/>
                <w:caps w:val="0"/>
                <w:color w:val="auto"/>
                <w:spacing w:val="0"/>
                <w:sz w:val="24"/>
                <w:szCs w:val="24"/>
                <w:highlight w:val="none"/>
                <w:shd w:val="clear" w:color="auto" w:fill="FFFFFF"/>
                <w:lang w:val="en-US" w:eastAsia="zh-CN"/>
              </w:rPr>
              <w:t>及以上</w:t>
            </w:r>
            <w:r>
              <w:rPr>
                <w:rFonts w:hint="eastAsia" w:ascii="宋体" w:hAnsi="宋体" w:eastAsia="宋体" w:cs="宋体"/>
                <w:i w:val="0"/>
                <w:iCs w:val="0"/>
                <w:caps w:val="0"/>
                <w:color w:val="auto"/>
                <w:spacing w:val="0"/>
                <w:sz w:val="24"/>
                <w:szCs w:val="24"/>
                <w:highlight w:val="none"/>
                <w:shd w:val="clear" w:color="auto" w:fill="FFFFFF"/>
              </w:rPr>
              <w:t>消防设施操作员</w:t>
            </w:r>
            <w:r>
              <w:rPr>
                <w:rFonts w:hint="eastAsia" w:ascii="宋体" w:hAnsi="宋体" w:eastAsia="宋体" w:cs="宋体"/>
                <w:i w:val="0"/>
                <w:iCs w:val="0"/>
                <w:caps w:val="0"/>
                <w:color w:val="auto"/>
                <w:spacing w:val="0"/>
                <w:sz w:val="24"/>
                <w:szCs w:val="24"/>
                <w:highlight w:val="none"/>
                <w:shd w:val="clear" w:color="auto" w:fill="FFFFFF"/>
                <w:lang w:val="en-US" w:eastAsia="zh-CN"/>
              </w:rPr>
              <w:t>证书得2分，具有高处特种作业操作证得1分，具有低压电工特种作业操作证得1分，本项最高得</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lang w:val="en-US" w:eastAsia="zh-CN"/>
              </w:rPr>
              <w:t>分</w:t>
            </w:r>
            <w:r>
              <w:rPr>
                <w:rFonts w:hint="eastAsia" w:ascii="宋体" w:hAnsi="宋体" w:cs="宋体"/>
                <w:i w:val="0"/>
                <w:iCs w:val="0"/>
                <w:caps w:val="0"/>
                <w:color w:val="auto"/>
                <w:spacing w:val="0"/>
                <w:sz w:val="24"/>
                <w:szCs w:val="24"/>
                <w:highlight w:val="none"/>
                <w:shd w:val="clear" w:color="auto" w:fill="FFFFFF"/>
                <w:lang w:val="en-US" w:eastAsia="zh-CN"/>
              </w:rPr>
              <w:t>；</w:t>
            </w:r>
          </w:p>
          <w:p w14:paraId="3783E0C9">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i w:val="0"/>
                <w:iCs w:val="0"/>
                <w:caps w:val="0"/>
                <w:color w:val="auto"/>
                <w:spacing w:val="0"/>
                <w:kern w:val="0"/>
                <w:sz w:val="24"/>
                <w:szCs w:val="24"/>
                <w:highlight w:val="none"/>
                <w:shd w:val="clear" w:fill="FFFFFF"/>
                <w:lang w:val="en-US" w:eastAsia="zh-CN" w:bidi="ar"/>
              </w:rPr>
              <w:t>其他维保人员（共4人）：每人同时具有中级消防设施操作员或建（构）筑物消防员证书、及高级特种作业操作证的，得1.5分，最高6分。</w:t>
            </w:r>
          </w:p>
          <w:p w14:paraId="7DC61D8C">
            <w:pPr>
              <w:keepNext w:val="0"/>
              <w:keepLines w:val="0"/>
              <w:pageBreakBefore w:val="0"/>
              <w:widowControl w:val="0"/>
              <w:kinsoku/>
              <w:overflowPunct/>
              <w:topLinePunct w:val="0"/>
              <w:bidi w:val="0"/>
              <w:snapToGrid/>
              <w:spacing w:line="460" w:lineRule="exact"/>
              <w:ind w:left="0" w:firstLine="0"/>
              <w:jc w:val="left"/>
              <w:textAlignment w:val="baseline"/>
              <w:rPr>
                <w:rFonts w:hint="eastAsia" w:ascii="宋体" w:hAnsi="宋体" w:eastAsia="宋体" w:cs="宋体"/>
                <w:color w:val="auto"/>
                <w:sz w:val="24"/>
                <w:szCs w:val="24"/>
                <w:highlight w:val="none"/>
                <w:shd w:val="clear" w:color="auto" w:fill="FFFFFF"/>
                <w:lang w:val="en-US" w:eastAsia="zh-CN"/>
              </w:rPr>
            </w:pPr>
            <w:r>
              <w:rPr>
                <w:rFonts w:hint="eastAsia" w:ascii="宋体" w:hAnsi="宋体" w:cs="宋体"/>
                <w:i w:val="0"/>
                <w:iCs w:val="0"/>
                <w:caps w:val="0"/>
                <w:color w:val="auto"/>
                <w:spacing w:val="0"/>
                <w:sz w:val="24"/>
                <w:szCs w:val="24"/>
                <w:highlight w:val="none"/>
                <w:shd w:val="clear" w:color="auto" w:fill="FFFFFF"/>
                <w:lang w:val="en-US" w:eastAsia="zh-CN"/>
              </w:rPr>
              <w:t>注：</w:t>
            </w:r>
            <w:r>
              <w:rPr>
                <w:rFonts w:hint="eastAsia" w:ascii="宋体" w:hAnsi="宋体" w:eastAsia="宋体" w:cs="宋体"/>
                <w:i w:val="0"/>
                <w:iCs w:val="0"/>
                <w:caps w:val="0"/>
                <w:color w:val="auto"/>
                <w:spacing w:val="0"/>
                <w:sz w:val="24"/>
                <w:szCs w:val="24"/>
                <w:highlight w:val="none"/>
                <w:shd w:val="clear" w:color="auto" w:fill="FFFFFF"/>
                <w:lang w:val="en-US" w:eastAsia="zh-CN"/>
              </w:rPr>
              <w:t>所拟派人员需为投标人自有员工，投标时需提供</w:t>
            </w:r>
            <w:r>
              <w:rPr>
                <w:rFonts w:hint="eastAsia" w:ascii="宋体" w:hAnsi="宋体" w:eastAsia="宋体" w:cs="宋体"/>
                <w:color w:val="auto"/>
                <w:sz w:val="24"/>
                <w:szCs w:val="24"/>
                <w:highlight w:val="none"/>
                <w:shd w:val="clear" w:color="auto" w:fill="FFFFFF"/>
                <w:lang w:val="en-US" w:eastAsia="zh-CN"/>
              </w:rPr>
              <w:t>拟派人员一览表（格式自拟）、相关证书佐证材料及投标单位与员工签订的劳动合同，为其缴纳2024年3月至202</w:t>
            </w:r>
            <w:r>
              <w:rPr>
                <w:rFonts w:hint="eastAsia" w:ascii="宋体" w:hAnsi="宋体" w:eastAsia="宋体" w:cs="宋体"/>
                <w:color w:val="auto"/>
                <w:sz w:val="24"/>
                <w:szCs w:val="24"/>
                <w:highlight w:val="none"/>
                <w:shd w:val="clear" w:color="auto" w:fill="FFFFFF"/>
                <w:lang w:val="en-US" w:eastAsia="zh-CN"/>
              </w:rPr>
              <w:t>4年</w:t>
            </w:r>
            <w:r>
              <w:rPr>
                <w:rFonts w:hint="eastAsia" w:ascii="宋体" w:hAnsi="宋体" w:cs="宋体"/>
                <w:color w:val="auto"/>
                <w:sz w:val="24"/>
                <w:szCs w:val="24"/>
                <w:highlight w:val="none"/>
                <w:shd w:val="clear" w:color="auto" w:fill="FFFFFF"/>
                <w:lang w:val="en-US" w:eastAsia="zh-CN"/>
              </w:rPr>
              <w:t>7</w:t>
            </w:r>
            <w:r>
              <w:rPr>
                <w:rFonts w:hint="eastAsia" w:ascii="宋体" w:hAnsi="宋体" w:eastAsia="宋体" w:cs="宋体"/>
                <w:color w:val="auto"/>
                <w:sz w:val="24"/>
                <w:szCs w:val="24"/>
                <w:highlight w:val="none"/>
                <w:shd w:val="clear" w:color="auto" w:fill="FFFFFF"/>
                <w:lang w:val="en-US" w:eastAsia="zh-CN"/>
              </w:rPr>
              <w:t>月任意1个月的社</w:t>
            </w:r>
            <w:r>
              <w:rPr>
                <w:rFonts w:hint="eastAsia" w:ascii="宋体" w:hAnsi="宋体" w:eastAsia="宋体" w:cs="宋体"/>
                <w:color w:val="auto"/>
                <w:sz w:val="24"/>
                <w:szCs w:val="24"/>
                <w:highlight w:val="none"/>
                <w:shd w:val="clear" w:color="auto" w:fill="FFFFFF"/>
                <w:lang w:val="en-US" w:eastAsia="zh-CN"/>
              </w:rPr>
              <w:t>保缴费证明材料。</w:t>
            </w:r>
          </w:p>
        </w:tc>
        <w:tc>
          <w:tcPr>
            <w:tcW w:w="353" w:type="pct"/>
            <w:tcBorders>
              <w:top w:val="single" w:color="auto" w:sz="4" w:space="0"/>
              <w:left w:val="nil"/>
              <w:bottom w:val="single" w:color="auto" w:sz="4" w:space="0"/>
              <w:right w:val="single" w:color="auto" w:sz="4" w:space="0"/>
            </w:tcBorders>
            <w:noWrap w:val="0"/>
            <w:vAlign w:val="center"/>
          </w:tcPr>
          <w:p w14:paraId="53A09BA6">
            <w:pPr>
              <w:keepNext w:val="0"/>
              <w:keepLines w:val="0"/>
              <w:pageBreakBefore w:val="0"/>
              <w:widowControl w:val="0"/>
              <w:kinsoku/>
              <w:overflowPunct/>
              <w:topLinePunct w:val="0"/>
              <w:bidi w:val="0"/>
              <w:snapToGrid/>
              <w:spacing w:line="460" w:lineRule="exact"/>
              <w:ind w:left="0" w:firstLine="0"/>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24</w:t>
            </w:r>
          </w:p>
        </w:tc>
      </w:tr>
      <w:tr w14:paraId="65DAFAED">
        <w:tblPrEx>
          <w:tblCellMar>
            <w:top w:w="0" w:type="dxa"/>
            <w:left w:w="108" w:type="dxa"/>
            <w:bottom w:w="0" w:type="dxa"/>
            <w:right w:w="108" w:type="dxa"/>
          </w:tblCellMar>
        </w:tblPrEx>
        <w:trPr>
          <w:trHeight w:val="666" w:hRule="atLeast"/>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6E7996EE">
            <w:pPr>
              <w:keepNext w:val="0"/>
              <w:keepLines w:val="0"/>
              <w:pageBreakBefore w:val="0"/>
              <w:widowControl w:val="0"/>
              <w:kinsoku/>
              <w:wordWrap w:val="0"/>
              <w:overflowPunct/>
              <w:topLinePunct w:val="0"/>
              <w:autoSpaceDE w:val="0"/>
              <w:autoSpaceDN w:val="0"/>
              <w:bidi w:val="0"/>
              <w:snapToGrid/>
              <w:spacing w:line="460" w:lineRule="exact"/>
              <w:ind w:left="0" w:firstLine="0"/>
              <w:jc w:val="center"/>
              <w:textAlignment w:val="baseline"/>
              <w:rPr>
                <w:rFonts w:hint="eastAsia" w:ascii="宋体" w:hAnsi="宋体" w:eastAsia="宋体" w:cs="宋体"/>
                <w:b/>
                <w:bCs/>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4</w:t>
            </w:r>
          </w:p>
        </w:tc>
        <w:tc>
          <w:tcPr>
            <w:tcW w:w="808" w:type="pct"/>
            <w:tcBorders>
              <w:top w:val="single" w:color="auto" w:sz="4" w:space="0"/>
              <w:left w:val="single" w:color="auto" w:sz="4" w:space="0"/>
              <w:bottom w:val="single" w:color="auto" w:sz="4" w:space="0"/>
              <w:right w:val="single" w:color="auto" w:sz="4" w:space="0"/>
            </w:tcBorders>
            <w:noWrap w:val="0"/>
            <w:vAlign w:val="center"/>
          </w:tcPr>
          <w:p w14:paraId="61F42946">
            <w:pPr>
              <w:keepNext w:val="0"/>
              <w:keepLines w:val="0"/>
              <w:pageBreakBefore w:val="0"/>
              <w:widowControl w:val="0"/>
              <w:kinsoku/>
              <w:overflowPunct/>
              <w:topLinePunct w:val="0"/>
              <w:bidi w:val="0"/>
              <w:snapToGrid/>
              <w:spacing w:line="460" w:lineRule="exact"/>
              <w:ind w:left="0" w:firstLine="0"/>
              <w:jc w:val="center"/>
              <w:textAlignment w:val="baseline"/>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设备配备</w:t>
            </w:r>
          </w:p>
        </w:tc>
        <w:tc>
          <w:tcPr>
            <w:tcW w:w="3351" w:type="pct"/>
            <w:tcBorders>
              <w:top w:val="single" w:color="auto" w:sz="4" w:space="0"/>
              <w:left w:val="single" w:color="auto" w:sz="4" w:space="0"/>
              <w:bottom w:val="single" w:color="auto" w:sz="4" w:space="0"/>
              <w:right w:val="single" w:color="auto" w:sz="4" w:space="0"/>
            </w:tcBorders>
            <w:noWrap w:val="0"/>
            <w:vAlign w:val="top"/>
          </w:tcPr>
          <w:p w14:paraId="681279D7">
            <w:pPr>
              <w:keepNext w:val="0"/>
              <w:keepLines w:val="0"/>
              <w:pageBreakBefore w:val="0"/>
              <w:widowControl w:val="0"/>
              <w:kinsoku/>
              <w:overflowPunct/>
              <w:topLinePunct w:val="0"/>
              <w:bidi w:val="0"/>
              <w:snapToGrid/>
              <w:spacing w:line="460" w:lineRule="exact"/>
              <w:ind w:left="0" w:firstLine="0"/>
              <w:jc w:val="left"/>
              <w:textAlignment w:val="baseline"/>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shd w:val="clear" w:color="auto" w:fill="FFFFFF"/>
              </w:rPr>
              <w:t>对拟投入项目服务的</w:t>
            </w:r>
            <w:r>
              <w:rPr>
                <w:rFonts w:hint="eastAsia" w:ascii="宋体" w:hAnsi="宋体" w:cs="宋体"/>
                <w:color w:val="auto"/>
                <w:sz w:val="24"/>
                <w:szCs w:val="24"/>
                <w:highlight w:val="none"/>
                <w:shd w:val="clear" w:color="auto" w:fill="FFFFFF"/>
                <w:lang w:val="en-US" w:eastAsia="zh-CN"/>
              </w:rPr>
              <w:t>自有</w:t>
            </w:r>
            <w:r>
              <w:rPr>
                <w:rFonts w:hint="eastAsia" w:ascii="宋体" w:hAnsi="宋体" w:eastAsia="宋体" w:cs="宋体"/>
                <w:color w:val="auto"/>
                <w:sz w:val="24"/>
                <w:szCs w:val="24"/>
                <w:highlight w:val="none"/>
                <w:shd w:val="clear" w:color="auto" w:fill="FFFFFF"/>
              </w:rPr>
              <w:t>仪器设备等进行</w:t>
            </w:r>
            <w:r>
              <w:rPr>
                <w:rFonts w:hint="eastAsia" w:ascii="宋体" w:hAnsi="宋体" w:cs="宋体"/>
                <w:color w:val="auto"/>
                <w:sz w:val="24"/>
                <w:szCs w:val="24"/>
                <w:highlight w:val="none"/>
                <w:shd w:val="clear" w:color="auto" w:fill="FFFFFF"/>
                <w:lang w:val="en-US" w:eastAsia="zh-CN"/>
              </w:rPr>
              <w:t>横向</w:t>
            </w:r>
            <w:r>
              <w:rPr>
                <w:rFonts w:hint="eastAsia" w:ascii="宋体" w:hAnsi="宋体" w:eastAsia="宋体" w:cs="宋体"/>
                <w:color w:val="auto"/>
                <w:sz w:val="24"/>
                <w:szCs w:val="24"/>
                <w:highlight w:val="none"/>
                <w:shd w:val="clear" w:color="auto" w:fill="FFFFFF"/>
              </w:rPr>
              <w:t>对比评审。</w:t>
            </w:r>
          </w:p>
          <w:p w14:paraId="065A5B24">
            <w:pPr>
              <w:keepNext w:val="0"/>
              <w:keepLines w:val="0"/>
              <w:pageBreakBefore w:val="0"/>
              <w:widowControl w:val="0"/>
              <w:kinsoku/>
              <w:overflowPunct/>
              <w:topLinePunct w:val="0"/>
              <w:bidi w:val="0"/>
              <w:snapToGrid/>
              <w:spacing w:line="460" w:lineRule="exact"/>
              <w:ind w:left="0" w:firstLine="0"/>
              <w:jc w:val="left"/>
              <w:textAlignment w:val="baseline"/>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拟投入设备数量齐全、质量完善、完全满足项目需求得</w:t>
            </w:r>
            <w:r>
              <w:rPr>
                <w:rFonts w:hint="eastAsia" w:ascii="宋体" w:hAnsi="宋体" w:cs="宋体"/>
                <w:color w:val="auto"/>
                <w:sz w:val="24"/>
                <w:szCs w:val="24"/>
                <w:highlight w:val="none"/>
                <w:shd w:val="clear" w:color="auto" w:fill="FFFFFF"/>
                <w:lang w:val="en-US" w:eastAsia="zh-CN"/>
              </w:rPr>
              <w:t>6</w:t>
            </w:r>
            <w:r>
              <w:rPr>
                <w:rFonts w:hint="eastAsia" w:ascii="宋体" w:hAnsi="宋体" w:eastAsia="宋体" w:cs="宋体"/>
                <w:color w:val="auto"/>
                <w:sz w:val="24"/>
                <w:szCs w:val="24"/>
                <w:highlight w:val="none"/>
                <w:shd w:val="clear" w:color="auto" w:fill="FFFFFF"/>
                <w:lang w:val="en-US" w:eastAsia="zh-CN"/>
              </w:rPr>
              <w:t>分；</w:t>
            </w:r>
          </w:p>
          <w:p w14:paraId="4CF95995">
            <w:pPr>
              <w:keepNext w:val="0"/>
              <w:keepLines w:val="0"/>
              <w:pageBreakBefore w:val="0"/>
              <w:widowControl w:val="0"/>
              <w:kinsoku/>
              <w:overflowPunct/>
              <w:topLinePunct w:val="0"/>
              <w:bidi w:val="0"/>
              <w:snapToGrid/>
              <w:spacing w:line="460" w:lineRule="exact"/>
              <w:ind w:left="0" w:firstLine="0"/>
              <w:jc w:val="left"/>
              <w:textAlignment w:val="baseline"/>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拟投入设备数量较齐全、质量较完善、基本满足项目需求得</w:t>
            </w:r>
            <w:r>
              <w:rPr>
                <w:rFonts w:hint="eastAsia" w:ascii="宋体" w:hAnsi="宋体" w:cs="宋体"/>
                <w:color w:val="auto"/>
                <w:sz w:val="24"/>
                <w:szCs w:val="24"/>
                <w:highlight w:val="none"/>
                <w:shd w:val="clear" w:color="auto" w:fill="FFFFFF"/>
                <w:lang w:val="en-US" w:eastAsia="zh-CN"/>
              </w:rPr>
              <w:t>4</w:t>
            </w:r>
            <w:r>
              <w:rPr>
                <w:rFonts w:hint="eastAsia" w:ascii="宋体" w:hAnsi="宋体" w:eastAsia="宋体" w:cs="宋体"/>
                <w:color w:val="auto"/>
                <w:sz w:val="24"/>
                <w:szCs w:val="24"/>
                <w:highlight w:val="none"/>
                <w:shd w:val="clear" w:color="auto" w:fill="FFFFFF"/>
                <w:lang w:val="en-US" w:eastAsia="zh-CN"/>
              </w:rPr>
              <w:t>分；</w:t>
            </w:r>
          </w:p>
          <w:p w14:paraId="087E8FCC">
            <w:pPr>
              <w:keepNext w:val="0"/>
              <w:keepLines w:val="0"/>
              <w:pageBreakBefore w:val="0"/>
              <w:widowControl w:val="0"/>
              <w:kinsoku/>
              <w:overflowPunct/>
              <w:topLinePunct w:val="0"/>
              <w:bidi w:val="0"/>
              <w:snapToGrid/>
              <w:spacing w:line="460" w:lineRule="exact"/>
              <w:ind w:left="0" w:firstLine="0"/>
              <w:jc w:val="left"/>
              <w:textAlignment w:val="baseline"/>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拟投入设备数量欠缺、质量一般、难以满足项目需求得</w:t>
            </w:r>
            <w:r>
              <w:rPr>
                <w:rFonts w:hint="eastAsia" w:ascii="宋体" w:hAnsi="宋体" w:cs="宋体"/>
                <w:color w:val="auto"/>
                <w:sz w:val="24"/>
                <w:szCs w:val="24"/>
                <w:highlight w:val="none"/>
                <w:shd w:val="clear" w:color="auto" w:fill="FFFFFF"/>
                <w:lang w:val="en-US" w:eastAsia="zh-CN"/>
              </w:rPr>
              <w:t>2</w:t>
            </w:r>
            <w:r>
              <w:rPr>
                <w:rFonts w:hint="eastAsia" w:ascii="宋体" w:hAnsi="宋体" w:eastAsia="宋体" w:cs="宋体"/>
                <w:color w:val="auto"/>
                <w:sz w:val="24"/>
                <w:szCs w:val="24"/>
                <w:highlight w:val="none"/>
                <w:shd w:val="clear" w:color="auto" w:fill="FFFFFF"/>
                <w:lang w:val="en-US" w:eastAsia="zh-CN"/>
              </w:rPr>
              <w:t>分；</w:t>
            </w:r>
          </w:p>
          <w:p w14:paraId="56E6F2DF">
            <w:pPr>
              <w:keepNext w:val="0"/>
              <w:keepLines w:val="0"/>
              <w:pageBreakBefore w:val="0"/>
              <w:widowControl w:val="0"/>
              <w:kinsoku/>
              <w:overflowPunct/>
              <w:topLinePunct w:val="0"/>
              <w:bidi w:val="0"/>
              <w:snapToGrid/>
              <w:spacing w:line="460" w:lineRule="exact"/>
              <w:ind w:left="0" w:firstLine="0"/>
              <w:jc w:val="left"/>
              <w:textAlignment w:val="baseline"/>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投标时提供设备清单及发票复印件加盖投标人公章。</w:t>
            </w:r>
          </w:p>
        </w:tc>
        <w:tc>
          <w:tcPr>
            <w:tcW w:w="353" w:type="pct"/>
            <w:tcBorders>
              <w:top w:val="single" w:color="auto" w:sz="4" w:space="0"/>
              <w:left w:val="nil"/>
              <w:bottom w:val="single" w:color="auto" w:sz="4" w:space="0"/>
              <w:right w:val="single" w:color="auto" w:sz="4" w:space="0"/>
            </w:tcBorders>
            <w:noWrap w:val="0"/>
            <w:vAlign w:val="center"/>
          </w:tcPr>
          <w:p w14:paraId="7508003C">
            <w:pPr>
              <w:keepNext w:val="0"/>
              <w:keepLines w:val="0"/>
              <w:pageBreakBefore w:val="0"/>
              <w:widowControl w:val="0"/>
              <w:kinsoku/>
              <w:overflowPunct/>
              <w:topLinePunct w:val="0"/>
              <w:bidi w:val="0"/>
              <w:snapToGrid/>
              <w:spacing w:line="460" w:lineRule="exact"/>
              <w:ind w:left="0" w:firstLine="0"/>
              <w:jc w:val="center"/>
              <w:textAlignment w:val="baseline"/>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r>
      <w:tr w14:paraId="16EF7743">
        <w:tblPrEx>
          <w:tblCellMar>
            <w:top w:w="0" w:type="dxa"/>
            <w:left w:w="108" w:type="dxa"/>
            <w:bottom w:w="0" w:type="dxa"/>
            <w:right w:w="108" w:type="dxa"/>
          </w:tblCellMar>
        </w:tblPrEx>
        <w:trPr>
          <w:trHeight w:val="666" w:hRule="atLeast"/>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57496A9D">
            <w:pPr>
              <w:keepNext w:val="0"/>
              <w:keepLines w:val="0"/>
              <w:pageBreakBefore w:val="0"/>
              <w:widowControl w:val="0"/>
              <w:kinsoku/>
              <w:wordWrap w:val="0"/>
              <w:overflowPunct/>
              <w:topLinePunct w:val="0"/>
              <w:autoSpaceDE w:val="0"/>
              <w:autoSpaceDN w:val="0"/>
              <w:bidi w:val="0"/>
              <w:snapToGrid/>
              <w:spacing w:line="460" w:lineRule="exact"/>
              <w:ind w:left="0" w:firstLine="0"/>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808" w:type="pct"/>
            <w:tcBorders>
              <w:top w:val="single" w:color="auto" w:sz="4" w:space="0"/>
              <w:left w:val="single" w:color="auto" w:sz="4" w:space="0"/>
              <w:bottom w:val="single" w:color="auto" w:sz="4" w:space="0"/>
              <w:right w:val="single" w:color="auto" w:sz="4" w:space="0"/>
            </w:tcBorders>
            <w:noWrap w:val="0"/>
            <w:vAlign w:val="center"/>
          </w:tcPr>
          <w:p w14:paraId="7040490D">
            <w:pPr>
              <w:keepNext w:val="0"/>
              <w:keepLines w:val="0"/>
              <w:pageBreakBefore w:val="0"/>
              <w:widowControl w:val="0"/>
              <w:kinsoku/>
              <w:overflowPunct/>
              <w:topLinePunct w:val="0"/>
              <w:bidi w:val="0"/>
              <w:snapToGrid/>
              <w:spacing w:line="460" w:lineRule="exact"/>
              <w:ind w:left="0" w:firstLine="0"/>
              <w:jc w:val="center"/>
              <w:textAlignment w:val="baseline"/>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lang w:val="en-US" w:eastAsia="zh-CN"/>
              </w:rPr>
              <w:t>应急</w:t>
            </w:r>
            <w:r>
              <w:rPr>
                <w:rFonts w:hint="eastAsia" w:ascii="宋体" w:hAnsi="宋体" w:eastAsia="宋体" w:cs="宋体"/>
                <w:color w:val="auto"/>
                <w:sz w:val="24"/>
                <w:szCs w:val="24"/>
                <w:highlight w:val="none"/>
                <w:shd w:val="clear" w:color="auto" w:fill="FFFFFF"/>
                <w:lang w:val="en-US" w:eastAsia="zh-CN"/>
              </w:rPr>
              <w:t>预案</w:t>
            </w:r>
          </w:p>
        </w:tc>
        <w:tc>
          <w:tcPr>
            <w:tcW w:w="3351" w:type="pct"/>
            <w:tcBorders>
              <w:top w:val="single" w:color="auto" w:sz="4" w:space="0"/>
              <w:left w:val="single" w:color="auto" w:sz="4" w:space="0"/>
              <w:bottom w:val="single" w:color="auto" w:sz="4" w:space="0"/>
              <w:right w:val="single" w:color="auto" w:sz="4" w:space="0"/>
            </w:tcBorders>
            <w:noWrap w:val="0"/>
            <w:vAlign w:val="top"/>
          </w:tcPr>
          <w:p w14:paraId="6525AFF8">
            <w:pPr>
              <w:keepNext w:val="0"/>
              <w:keepLines w:val="0"/>
              <w:pageBreakBefore w:val="0"/>
              <w:widowControl w:val="0"/>
              <w:kinsoku/>
              <w:overflowPunct/>
              <w:topLinePunct w:val="0"/>
              <w:bidi w:val="0"/>
              <w:snapToGrid/>
              <w:spacing w:line="460" w:lineRule="exact"/>
              <w:ind w:left="0" w:firstLine="0"/>
              <w:jc w:val="left"/>
              <w:textAlignment w:val="baseline"/>
              <w:rPr>
                <w:rFonts w:hint="eastAsia"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供应商针对本项目重点难点、项目实施过程中可能遇到的问题、解决方案及措施、应急响应时间及安排等方面进行阐述：</w:t>
            </w:r>
          </w:p>
          <w:p w14:paraId="7361AC51">
            <w:pPr>
              <w:keepNext w:val="0"/>
              <w:keepLines w:val="0"/>
              <w:pageBreakBefore w:val="0"/>
              <w:widowControl w:val="0"/>
              <w:kinsoku/>
              <w:overflowPunct/>
              <w:topLinePunct w:val="0"/>
              <w:bidi w:val="0"/>
              <w:snapToGrid/>
              <w:spacing w:line="460" w:lineRule="exact"/>
              <w:ind w:left="0" w:firstLine="0"/>
              <w:jc w:val="left"/>
              <w:textAlignment w:val="baseline"/>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方案内容全面完善、重难点把握清晰、实施过程问题考虑全面、解决方案及措施安排得当、响应时间及进度安排迅速及时得</w:t>
            </w:r>
            <w:r>
              <w:rPr>
                <w:rFonts w:hint="eastAsia" w:ascii="宋体" w:hAnsi="宋体" w:cs="宋体"/>
                <w:color w:val="auto"/>
                <w:sz w:val="24"/>
                <w:szCs w:val="24"/>
                <w:highlight w:val="none"/>
                <w:shd w:val="clear" w:color="auto" w:fill="FFFFFF"/>
                <w:lang w:val="en-US" w:eastAsia="zh-CN"/>
              </w:rPr>
              <w:t>7</w:t>
            </w:r>
            <w:r>
              <w:rPr>
                <w:rFonts w:hint="eastAsia" w:ascii="宋体" w:hAnsi="宋体" w:eastAsia="宋体" w:cs="宋体"/>
                <w:color w:val="auto"/>
                <w:sz w:val="24"/>
                <w:szCs w:val="24"/>
                <w:highlight w:val="none"/>
                <w:shd w:val="clear" w:color="auto" w:fill="FFFFFF"/>
                <w:lang w:val="en-US" w:eastAsia="zh-CN"/>
              </w:rPr>
              <w:t>分；方案内容</w:t>
            </w:r>
            <w:r>
              <w:rPr>
                <w:rFonts w:hint="eastAsia" w:ascii="宋体" w:hAnsi="宋体" w:cs="宋体"/>
                <w:color w:val="auto"/>
                <w:sz w:val="24"/>
                <w:szCs w:val="24"/>
                <w:highlight w:val="none"/>
                <w:shd w:val="clear" w:color="auto" w:fill="FFFFFF"/>
                <w:lang w:val="en-US" w:eastAsia="zh-CN"/>
              </w:rPr>
              <w:t>较</w:t>
            </w:r>
            <w:r>
              <w:rPr>
                <w:rFonts w:hint="eastAsia" w:ascii="宋体" w:hAnsi="宋体" w:eastAsia="宋体" w:cs="宋体"/>
                <w:color w:val="auto"/>
                <w:sz w:val="24"/>
                <w:szCs w:val="24"/>
                <w:highlight w:val="none"/>
                <w:shd w:val="clear" w:color="auto" w:fill="FFFFFF"/>
                <w:lang w:val="en-US" w:eastAsia="zh-CN"/>
              </w:rPr>
              <w:t>完善、重难点把握</w:t>
            </w:r>
            <w:r>
              <w:rPr>
                <w:rFonts w:hint="eastAsia" w:ascii="宋体" w:hAnsi="宋体" w:cs="宋体"/>
                <w:color w:val="auto"/>
                <w:sz w:val="24"/>
                <w:szCs w:val="24"/>
                <w:highlight w:val="none"/>
                <w:shd w:val="clear" w:color="auto" w:fill="FFFFFF"/>
                <w:lang w:val="en-US" w:eastAsia="zh-CN"/>
              </w:rPr>
              <w:t>较</w:t>
            </w:r>
            <w:r>
              <w:rPr>
                <w:rFonts w:hint="eastAsia" w:ascii="宋体" w:hAnsi="宋体" w:eastAsia="宋体" w:cs="宋体"/>
                <w:color w:val="auto"/>
                <w:sz w:val="24"/>
                <w:szCs w:val="24"/>
                <w:highlight w:val="none"/>
                <w:shd w:val="clear" w:color="auto" w:fill="FFFFFF"/>
                <w:lang w:val="en-US" w:eastAsia="zh-CN"/>
              </w:rPr>
              <w:t>清晰、实施过程问题考虑</w:t>
            </w:r>
            <w:r>
              <w:rPr>
                <w:rFonts w:hint="eastAsia" w:ascii="宋体" w:hAnsi="宋体" w:cs="宋体"/>
                <w:color w:val="auto"/>
                <w:sz w:val="24"/>
                <w:szCs w:val="24"/>
                <w:highlight w:val="none"/>
                <w:shd w:val="clear" w:color="auto" w:fill="FFFFFF"/>
                <w:lang w:val="en-US" w:eastAsia="zh-CN"/>
              </w:rPr>
              <w:t>较</w:t>
            </w:r>
            <w:r>
              <w:rPr>
                <w:rFonts w:hint="eastAsia" w:ascii="宋体" w:hAnsi="宋体" w:eastAsia="宋体" w:cs="宋体"/>
                <w:color w:val="auto"/>
                <w:sz w:val="24"/>
                <w:szCs w:val="24"/>
                <w:highlight w:val="none"/>
                <w:shd w:val="clear" w:color="auto" w:fill="FFFFFF"/>
                <w:lang w:val="en-US" w:eastAsia="zh-CN"/>
              </w:rPr>
              <w:t>全面、解决方案及措施安排</w:t>
            </w:r>
            <w:r>
              <w:rPr>
                <w:rFonts w:hint="eastAsia" w:ascii="宋体" w:hAnsi="宋体" w:cs="宋体"/>
                <w:color w:val="auto"/>
                <w:sz w:val="24"/>
                <w:szCs w:val="24"/>
                <w:highlight w:val="none"/>
                <w:shd w:val="clear" w:color="auto" w:fill="FFFFFF"/>
                <w:lang w:val="en-US" w:eastAsia="zh-CN"/>
              </w:rPr>
              <w:t>较</w:t>
            </w:r>
            <w:r>
              <w:rPr>
                <w:rFonts w:hint="eastAsia" w:ascii="宋体" w:hAnsi="宋体" w:eastAsia="宋体" w:cs="宋体"/>
                <w:color w:val="auto"/>
                <w:sz w:val="24"/>
                <w:szCs w:val="24"/>
                <w:highlight w:val="none"/>
                <w:shd w:val="clear" w:color="auto" w:fill="FFFFFF"/>
                <w:lang w:val="en-US" w:eastAsia="zh-CN"/>
              </w:rPr>
              <w:t>得当、响应时间及进度安排</w:t>
            </w:r>
            <w:r>
              <w:rPr>
                <w:rFonts w:hint="eastAsia" w:ascii="宋体" w:hAnsi="宋体" w:cs="宋体"/>
                <w:color w:val="auto"/>
                <w:sz w:val="24"/>
                <w:szCs w:val="24"/>
                <w:highlight w:val="none"/>
                <w:shd w:val="clear" w:color="auto" w:fill="FFFFFF"/>
                <w:lang w:val="en-US" w:eastAsia="zh-CN"/>
              </w:rPr>
              <w:t>较</w:t>
            </w:r>
            <w:r>
              <w:rPr>
                <w:rFonts w:hint="eastAsia" w:ascii="宋体" w:hAnsi="宋体" w:eastAsia="宋体" w:cs="宋体"/>
                <w:color w:val="auto"/>
                <w:sz w:val="24"/>
                <w:szCs w:val="24"/>
                <w:highlight w:val="none"/>
                <w:shd w:val="clear" w:color="auto" w:fill="FFFFFF"/>
                <w:lang w:val="en-US" w:eastAsia="zh-CN"/>
              </w:rPr>
              <w:t>迅速得</w:t>
            </w:r>
            <w:r>
              <w:rPr>
                <w:rFonts w:hint="eastAsia" w:ascii="宋体" w:hAnsi="宋体" w:cs="宋体"/>
                <w:color w:val="auto"/>
                <w:sz w:val="24"/>
                <w:szCs w:val="24"/>
                <w:highlight w:val="none"/>
                <w:shd w:val="clear" w:color="auto" w:fill="FFFFFF"/>
                <w:lang w:val="en-US" w:eastAsia="zh-CN"/>
              </w:rPr>
              <w:t>5</w:t>
            </w:r>
            <w:r>
              <w:rPr>
                <w:rFonts w:hint="eastAsia" w:ascii="宋体" w:hAnsi="宋体" w:eastAsia="宋体" w:cs="宋体"/>
                <w:color w:val="auto"/>
                <w:sz w:val="24"/>
                <w:szCs w:val="24"/>
                <w:highlight w:val="none"/>
                <w:shd w:val="clear" w:color="auto" w:fill="FFFFFF"/>
                <w:lang w:val="en-US" w:eastAsia="zh-CN"/>
              </w:rPr>
              <w:t>分；方案内容</w:t>
            </w:r>
            <w:r>
              <w:rPr>
                <w:rFonts w:hint="eastAsia" w:ascii="宋体" w:hAnsi="宋体" w:cs="宋体"/>
                <w:color w:val="auto"/>
                <w:sz w:val="24"/>
                <w:szCs w:val="24"/>
                <w:highlight w:val="none"/>
                <w:shd w:val="clear" w:color="auto" w:fill="FFFFFF"/>
                <w:lang w:val="en-US" w:eastAsia="zh-CN"/>
              </w:rPr>
              <w:t>有所欠缺</w:t>
            </w:r>
            <w:r>
              <w:rPr>
                <w:rFonts w:hint="eastAsia" w:ascii="宋体" w:hAnsi="宋体" w:eastAsia="宋体" w:cs="宋体"/>
                <w:color w:val="auto"/>
                <w:sz w:val="24"/>
                <w:szCs w:val="24"/>
                <w:highlight w:val="none"/>
                <w:shd w:val="clear" w:color="auto" w:fill="FFFFFF"/>
                <w:lang w:val="en-US" w:eastAsia="zh-CN"/>
              </w:rPr>
              <w:t>、重难点把握</w:t>
            </w:r>
            <w:r>
              <w:rPr>
                <w:rFonts w:hint="eastAsia" w:ascii="宋体" w:hAnsi="宋体" w:cs="宋体"/>
                <w:color w:val="auto"/>
                <w:sz w:val="24"/>
                <w:szCs w:val="24"/>
                <w:highlight w:val="none"/>
                <w:shd w:val="clear" w:color="auto" w:fill="FFFFFF"/>
                <w:lang w:val="en-US" w:eastAsia="zh-CN"/>
              </w:rPr>
              <w:t>模糊</w:t>
            </w:r>
            <w:r>
              <w:rPr>
                <w:rFonts w:hint="eastAsia" w:ascii="宋体" w:hAnsi="宋体" w:eastAsia="宋体" w:cs="宋体"/>
                <w:color w:val="auto"/>
                <w:sz w:val="24"/>
                <w:szCs w:val="24"/>
                <w:highlight w:val="none"/>
                <w:shd w:val="clear" w:color="auto" w:fill="FFFFFF"/>
                <w:lang w:val="en-US" w:eastAsia="zh-CN"/>
              </w:rPr>
              <w:t>、实施过程问题考虑</w:t>
            </w:r>
            <w:r>
              <w:rPr>
                <w:rFonts w:hint="eastAsia" w:ascii="宋体" w:hAnsi="宋体" w:cs="宋体"/>
                <w:color w:val="auto"/>
                <w:sz w:val="24"/>
                <w:szCs w:val="24"/>
                <w:highlight w:val="none"/>
                <w:shd w:val="clear" w:color="auto" w:fill="FFFFFF"/>
                <w:lang w:val="en-US" w:eastAsia="zh-CN"/>
              </w:rPr>
              <w:t>不周</w:t>
            </w:r>
            <w:r>
              <w:rPr>
                <w:rFonts w:hint="eastAsia" w:ascii="宋体" w:hAnsi="宋体" w:eastAsia="宋体" w:cs="宋体"/>
                <w:color w:val="auto"/>
                <w:sz w:val="24"/>
                <w:szCs w:val="24"/>
                <w:highlight w:val="none"/>
                <w:shd w:val="clear" w:color="auto" w:fill="FFFFFF"/>
                <w:lang w:val="en-US" w:eastAsia="zh-CN"/>
              </w:rPr>
              <w:t>、解决方案及措施安排</w:t>
            </w:r>
            <w:r>
              <w:rPr>
                <w:rFonts w:hint="eastAsia" w:ascii="宋体" w:hAnsi="宋体" w:cs="宋体"/>
                <w:color w:val="auto"/>
                <w:sz w:val="24"/>
                <w:szCs w:val="24"/>
                <w:highlight w:val="none"/>
                <w:shd w:val="clear" w:color="auto" w:fill="FFFFFF"/>
                <w:lang w:val="en-US" w:eastAsia="zh-CN"/>
              </w:rPr>
              <w:t>泛泛而谈</w:t>
            </w:r>
            <w:r>
              <w:rPr>
                <w:rFonts w:hint="eastAsia" w:ascii="宋体" w:hAnsi="宋体" w:eastAsia="宋体" w:cs="宋体"/>
                <w:color w:val="auto"/>
                <w:sz w:val="24"/>
                <w:szCs w:val="24"/>
                <w:highlight w:val="none"/>
                <w:shd w:val="clear" w:color="auto" w:fill="FFFFFF"/>
                <w:lang w:val="en-US" w:eastAsia="zh-CN"/>
              </w:rPr>
              <w:t>、响应时间及进度安排</w:t>
            </w:r>
            <w:r>
              <w:rPr>
                <w:rFonts w:hint="eastAsia" w:ascii="宋体" w:hAnsi="宋体" w:cs="宋体"/>
                <w:color w:val="auto"/>
                <w:sz w:val="24"/>
                <w:szCs w:val="24"/>
                <w:highlight w:val="none"/>
                <w:shd w:val="clear" w:color="auto" w:fill="FFFFFF"/>
                <w:lang w:val="en-US" w:eastAsia="zh-CN"/>
              </w:rPr>
              <w:t>有所延迟得3</w:t>
            </w:r>
            <w:r>
              <w:rPr>
                <w:rFonts w:hint="eastAsia" w:ascii="宋体" w:hAnsi="宋体" w:eastAsia="宋体" w:cs="宋体"/>
                <w:color w:val="auto"/>
                <w:sz w:val="24"/>
                <w:szCs w:val="24"/>
                <w:highlight w:val="none"/>
                <w:shd w:val="clear" w:color="auto" w:fill="FFFFFF"/>
                <w:lang w:val="en-US" w:eastAsia="zh-CN"/>
              </w:rPr>
              <w:t>分；</w:t>
            </w:r>
            <w:r>
              <w:rPr>
                <w:rFonts w:hint="eastAsia" w:ascii="宋体" w:hAnsi="宋体" w:cs="宋体"/>
                <w:color w:val="auto"/>
                <w:sz w:val="24"/>
                <w:szCs w:val="24"/>
                <w:highlight w:val="none"/>
                <w:shd w:val="clear" w:color="auto" w:fill="FFFFFF"/>
                <w:lang w:val="en-US" w:eastAsia="zh-CN"/>
              </w:rPr>
              <w:t>未提供本项不得分。</w:t>
            </w:r>
          </w:p>
        </w:tc>
        <w:tc>
          <w:tcPr>
            <w:tcW w:w="353" w:type="pct"/>
            <w:tcBorders>
              <w:top w:val="single" w:color="auto" w:sz="4" w:space="0"/>
              <w:left w:val="nil"/>
              <w:bottom w:val="single" w:color="auto" w:sz="4" w:space="0"/>
              <w:right w:val="single" w:color="auto" w:sz="4" w:space="0"/>
            </w:tcBorders>
            <w:noWrap w:val="0"/>
            <w:vAlign w:val="center"/>
          </w:tcPr>
          <w:p w14:paraId="0D351DDB">
            <w:pPr>
              <w:keepNext w:val="0"/>
              <w:keepLines w:val="0"/>
              <w:pageBreakBefore w:val="0"/>
              <w:widowControl w:val="0"/>
              <w:kinsoku/>
              <w:overflowPunct/>
              <w:topLinePunct w:val="0"/>
              <w:bidi w:val="0"/>
              <w:snapToGrid/>
              <w:spacing w:line="460" w:lineRule="exact"/>
              <w:ind w:left="0" w:firstLine="0"/>
              <w:jc w:val="center"/>
              <w:textAlignment w:val="baseline"/>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r>
      <w:tr w14:paraId="3F68601F">
        <w:tblPrEx>
          <w:tblCellMar>
            <w:top w:w="0" w:type="dxa"/>
            <w:left w:w="108" w:type="dxa"/>
            <w:bottom w:w="0" w:type="dxa"/>
            <w:right w:w="108" w:type="dxa"/>
          </w:tblCellMar>
        </w:tblPrEx>
        <w:trPr>
          <w:trHeight w:val="666" w:hRule="atLeast"/>
          <w:jc w:val="center"/>
        </w:trPr>
        <w:tc>
          <w:tcPr>
            <w:tcW w:w="486" w:type="pct"/>
            <w:tcBorders>
              <w:top w:val="single" w:color="auto" w:sz="4" w:space="0"/>
              <w:left w:val="single" w:color="auto" w:sz="4" w:space="0"/>
              <w:bottom w:val="single" w:color="auto" w:sz="4" w:space="0"/>
              <w:right w:val="single" w:color="auto" w:sz="4" w:space="0"/>
            </w:tcBorders>
            <w:noWrap w:val="0"/>
            <w:vAlign w:val="center"/>
          </w:tcPr>
          <w:p w14:paraId="6B513A77">
            <w:pPr>
              <w:keepNext w:val="0"/>
              <w:keepLines w:val="0"/>
              <w:pageBreakBefore w:val="0"/>
              <w:widowControl w:val="0"/>
              <w:kinsoku/>
              <w:wordWrap w:val="0"/>
              <w:overflowPunct/>
              <w:topLinePunct w:val="0"/>
              <w:autoSpaceDE w:val="0"/>
              <w:autoSpaceDN w:val="0"/>
              <w:bidi w:val="0"/>
              <w:snapToGrid/>
              <w:spacing w:line="460" w:lineRule="exact"/>
              <w:ind w:left="0" w:firstLine="0"/>
              <w:jc w:val="center"/>
              <w:textAlignment w:val="baseline"/>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808" w:type="pct"/>
            <w:tcBorders>
              <w:top w:val="single" w:color="auto" w:sz="4" w:space="0"/>
              <w:left w:val="single" w:color="auto" w:sz="4" w:space="0"/>
              <w:bottom w:val="single" w:color="auto" w:sz="4" w:space="0"/>
              <w:right w:val="single" w:color="auto" w:sz="4" w:space="0"/>
            </w:tcBorders>
            <w:noWrap w:val="0"/>
            <w:vAlign w:val="center"/>
          </w:tcPr>
          <w:p w14:paraId="4F517E7C">
            <w:pPr>
              <w:keepNext w:val="0"/>
              <w:keepLines w:val="0"/>
              <w:pageBreakBefore w:val="0"/>
              <w:widowControl w:val="0"/>
              <w:kinsoku/>
              <w:overflowPunct/>
              <w:topLinePunct w:val="0"/>
              <w:bidi w:val="0"/>
              <w:snapToGrid/>
              <w:spacing w:line="460" w:lineRule="exact"/>
              <w:ind w:left="0" w:firstLine="0"/>
              <w:jc w:val="center"/>
              <w:textAlignment w:val="baseline"/>
              <w:rPr>
                <w:rFonts w:hint="default" w:ascii="宋体" w:hAnsi="宋体" w:eastAsia="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安全施工方案</w:t>
            </w:r>
          </w:p>
        </w:tc>
        <w:tc>
          <w:tcPr>
            <w:tcW w:w="3351" w:type="pct"/>
            <w:tcBorders>
              <w:top w:val="single" w:color="auto" w:sz="4" w:space="0"/>
              <w:left w:val="single" w:color="auto" w:sz="4" w:space="0"/>
              <w:bottom w:val="single" w:color="auto" w:sz="4" w:space="0"/>
              <w:right w:val="single" w:color="auto" w:sz="4" w:space="0"/>
            </w:tcBorders>
            <w:noWrap w:val="0"/>
            <w:vAlign w:val="top"/>
          </w:tcPr>
          <w:p w14:paraId="6FEA96BF">
            <w:pPr>
              <w:keepNext w:val="0"/>
              <w:keepLines w:val="0"/>
              <w:pageBreakBefore w:val="0"/>
              <w:widowControl w:val="0"/>
              <w:kinsoku/>
              <w:overflowPunct/>
              <w:topLinePunct w:val="0"/>
              <w:bidi w:val="0"/>
              <w:snapToGrid/>
              <w:spacing w:line="460" w:lineRule="exact"/>
              <w:ind w:left="0" w:firstLine="0"/>
              <w:jc w:val="left"/>
              <w:textAlignment w:val="baseline"/>
              <w:rPr>
                <w:rFonts w:hint="eastAsia" w:ascii="宋体" w:hAnsi="宋体" w:cs="宋体"/>
                <w:color w:val="auto"/>
                <w:sz w:val="24"/>
                <w:szCs w:val="24"/>
                <w:highlight w:val="none"/>
                <w:shd w:val="clear" w:color="auto" w:fill="FFFFFF"/>
                <w:lang w:val="en-US" w:eastAsia="zh-CN"/>
              </w:rPr>
            </w:pPr>
            <w:r>
              <w:rPr>
                <w:rFonts w:hint="eastAsia" w:ascii="宋体" w:hAnsi="宋体" w:cs="宋体"/>
                <w:color w:val="auto"/>
                <w:sz w:val="24"/>
                <w:szCs w:val="24"/>
                <w:highlight w:val="none"/>
                <w:shd w:val="clear" w:color="auto" w:fill="FFFFFF"/>
                <w:lang w:val="en-US" w:eastAsia="zh-CN"/>
              </w:rPr>
              <w:t>供应商针对本项目安全施工、重点难点问题、安全施工处理措施等方面进行阐述：</w:t>
            </w:r>
          </w:p>
          <w:p w14:paraId="3DB6C02F">
            <w:pPr>
              <w:keepNext w:val="0"/>
              <w:keepLines w:val="0"/>
              <w:pageBreakBefore w:val="0"/>
              <w:widowControl w:val="0"/>
              <w:kinsoku/>
              <w:overflowPunct/>
              <w:topLinePunct w:val="0"/>
              <w:bidi w:val="0"/>
              <w:snapToGrid/>
              <w:spacing w:line="460" w:lineRule="exact"/>
              <w:ind w:left="0" w:firstLine="0"/>
              <w:jc w:val="left"/>
              <w:textAlignment w:val="baseline"/>
              <w:rPr>
                <w:rFonts w:hint="default" w:ascii="宋体" w:hAnsi="宋体" w:eastAsia="宋体" w:cs="宋体"/>
                <w:color w:val="auto"/>
                <w:sz w:val="24"/>
                <w:szCs w:val="24"/>
                <w:highlight w:val="none"/>
                <w:shd w:val="clear" w:color="auto" w:fill="FFFFFF"/>
                <w:lang w:val="en-US" w:eastAsia="zh-CN"/>
              </w:rPr>
            </w:pPr>
            <w:r>
              <w:rPr>
                <w:rFonts w:hint="eastAsia" w:ascii="宋体" w:hAnsi="宋体" w:eastAsia="宋体" w:cs="宋体"/>
                <w:color w:val="auto"/>
                <w:sz w:val="24"/>
                <w:szCs w:val="24"/>
                <w:highlight w:val="none"/>
                <w:shd w:val="clear" w:color="auto" w:fill="FFFFFF"/>
                <w:lang w:val="en-US" w:eastAsia="zh-CN"/>
              </w:rPr>
              <w:t>方案内容全面完善、重难点把握清晰、实施过程问题考虑全面、</w:t>
            </w:r>
            <w:r>
              <w:rPr>
                <w:rFonts w:hint="eastAsia" w:ascii="宋体" w:hAnsi="宋体" w:cs="宋体"/>
                <w:color w:val="auto"/>
                <w:sz w:val="24"/>
                <w:szCs w:val="24"/>
                <w:highlight w:val="none"/>
                <w:shd w:val="clear" w:color="auto" w:fill="FFFFFF"/>
                <w:lang w:val="en-US" w:eastAsia="zh-CN"/>
              </w:rPr>
              <w:t>安全施工处理措施</w:t>
            </w:r>
            <w:r>
              <w:rPr>
                <w:rFonts w:hint="eastAsia" w:ascii="宋体" w:hAnsi="宋体" w:eastAsia="宋体" w:cs="宋体"/>
                <w:color w:val="auto"/>
                <w:sz w:val="24"/>
                <w:szCs w:val="24"/>
                <w:highlight w:val="none"/>
                <w:shd w:val="clear" w:color="auto" w:fill="FFFFFF"/>
                <w:lang w:val="en-US" w:eastAsia="zh-CN"/>
              </w:rPr>
              <w:t>安排得当</w:t>
            </w:r>
            <w:r>
              <w:rPr>
                <w:rFonts w:hint="eastAsia" w:ascii="宋体" w:hAnsi="宋体" w:cs="宋体"/>
                <w:color w:val="auto"/>
                <w:sz w:val="24"/>
                <w:szCs w:val="24"/>
                <w:highlight w:val="none"/>
                <w:shd w:val="clear" w:color="auto" w:fill="FFFFFF"/>
                <w:lang w:val="en-US" w:eastAsia="zh-CN"/>
              </w:rPr>
              <w:t>得3分；</w:t>
            </w:r>
            <w:r>
              <w:rPr>
                <w:rFonts w:hint="eastAsia" w:ascii="宋体" w:hAnsi="宋体" w:eastAsia="宋体" w:cs="宋体"/>
                <w:color w:val="auto"/>
                <w:sz w:val="24"/>
                <w:szCs w:val="24"/>
                <w:highlight w:val="none"/>
                <w:shd w:val="clear" w:color="auto" w:fill="FFFFFF"/>
                <w:lang w:val="en-US" w:eastAsia="zh-CN"/>
              </w:rPr>
              <w:t>方案内容</w:t>
            </w:r>
            <w:r>
              <w:rPr>
                <w:rFonts w:hint="eastAsia" w:ascii="宋体" w:hAnsi="宋体" w:cs="宋体"/>
                <w:color w:val="auto"/>
                <w:sz w:val="24"/>
                <w:szCs w:val="24"/>
                <w:highlight w:val="none"/>
                <w:shd w:val="clear" w:color="auto" w:fill="FFFFFF"/>
                <w:lang w:val="en-US" w:eastAsia="zh-CN"/>
              </w:rPr>
              <w:t>较</w:t>
            </w:r>
            <w:r>
              <w:rPr>
                <w:rFonts w:hint="eastAsia" w:ascii="宋体" w:hAnsi="宋体" w:eastAsia="宋体" w:cs="宋体"/>
                <w:color w:val="auto"/>
                <w:sz w:val="24"/>
                <w:szCs w:val="24"/>
                <w:highlight w:val="none"/>
                <w:shd w:val="clear" w:color="auto" w:fill="FFFFFF"/>
                <w:lang w:val="en-US" w:eastAsia="zh-CN"/>
              </w:rPr>
              <w:t>完善、重难点把握</w:t>
            </w:r>
            <w:r>
              <w:rPr>
                <w:rFonts w:hint="eastAsia" w:ascii="宋体" w:hAnsi="宋体" w:cs="宋体"/>
                <w:color w:val="auto"/>
                <w:sz w:val="24"/>
                <w:szCs w:val="24"/>
                <w:highlight w:val="none"/>
                <w:shd w:val="clear" w:color="auto" w:fill="FFFFFF"/>
                <w:lang w:val="en-US" w:eastAsia="zh-CN"/>
              </w:rPr>
              <w:t>较</w:t>
            </w:r>
            <w:r>
              <w:rPr>
                <w:rFonts w:hint="eastAsia" w:ascii="宋体" w:hAnsi="宋体" w:eastAsia="宋体" w:cs="宋体"/>
                <w:color w:val="auto"/>
                <w:sz w:val="24"/>
                <w:szCs w:val="24"/>
                <w:highlight w:val="none"/>
                <w:shd w:val="clear" w:color="auto" w:fill="FFFFFF"/>
                <w:lang w:val="en-US" w:eastAsia="zh-CN"/>
              </w:rPr>
              <w:t>清晰、实施过程问题考虑</w:t>
            </w:r>
            <w:r>
              <w:rPr>
                <w:rFonts w:hint="eastAsia" w:ascii="宋体" w:hAnsi="宋体" w:cs="宋体"/>
                <w:color w:val="auto"/>
                <w:sz w:val="24"/>
                <w:szCs w:val="24"/>
                <w:highlight w:val="none"/>
                <w:shd w:val="clear" w:color="auto" w:fill="FFFFFF"/>
                <w:lang w:val="en-US" w:eastAsia="zh-CN"/>
              </w:rPr>
              <w:t>较</w:t>
            </w:r>
            <w:r>
              <w:rPr>
                <w:rFonts w:hint="eastAsia" w:ascii="宋体" w:hAnsi="宋体" w:eastAsia="宋体" w:cs="宋体"/>
                <w:color w:val="auto"/>
                <w:sz w:val="24"/>
                <w:szCs w:val="24"/>
                <w:highlight w:val="none"/>
                <w:shd w:val="clear" w:color="auto" w:fill="FFFFFF"/>
                <w:lang w:val="en-US" w:eastAsia="zh-CN"/>
              </w:rPr>
              <w:t>全面、</w:t>
            </w:r>
            <w:r>
              <w:rPr>
                <w:rFonts w:hint="eastAsia" w:ascii="宋体" w:hAnsi="宋体" w:cs="宋体"/>
                <w:color w:val="auto"/>
                <w:sz w:val="24"/>
                <w:szCs w:val="24"/>
                <w:highlight w:val="none"/>
                <w:shd w:val="clear" w:color="auto" w:fill="FFFFFF"/>
                <w:lang w:val="en-US" w:eastAsia="zh-CN"/>
              </w:rPr>
              <w:t>安全施工处理措施</w:t>
            </w:r>
            <w:r>
              <w:rPr>
                <w:rFonts w:hint="eastAsia" w:ascii="宋体" w:hAnsi="宋体" w:eastAsia="宋体" w:cs="宋体"/>
                <w:color w:val="auto"/>
                <w:sz w:val="24"/>
                <w:szCs w:val="24"/>
                <w:highlight w:val="none"/>
                <w:shd w:val="clear" w:color="auto" w:fill="FFFFFF"/>
                <w:lang w:val="en-US" w:eastAsia="zh-CN"/>
              </w:rPr>
              <w:t>安排</w:t>
            </w:r>
            <w:r>
              <w:rPr>
                <w:rFonts w:hint="eastAsia" w:ascii="宋体" w:hAnsi="宋体" w:cs="宋体"/>
                <w:color w:val="auto"/>
                <w:sz w:val="24"/>
                <w:szCs w:val="24"/>
                <w:highlight w:val="none"/>
                <w:shd w:val="clear" w:color="auto" w:fill="FFFFFF"/>
                <w:lang w:val="en-US" w:eastAsia="zh-CN"/>
              </w:rPr>
              <w:t>较</w:t>
            </w:r>
            <w:r>
              <w:rPr>
                <w:rFonts w:hint="eastAsia" w:ascii="宋体" w:hAnsi="宋体" w:eastAsia="宋体" w:cs="宋体"/>
                <w:color w:val="auto"/>
                <w:sz w:val="24"/>
                <w:szCs w:val="24"/>
                <w:highlight w:val="none"/>
                <w:shd w:val="clear" w:color="auto" w:fill="FFFFFF"/>
                <w:lang w:val="en-US" w:eastAsia="zh-CN"/>
              </w:rPr>
              <w:t>得当</w:t>
            </w:r>
            <w:r>
              <w:rPr>
                <w:rFonts w:hint="eastAsia" w:ascii="宋体" w:hAnsi="宋体" w:cs="宋体"/>
                <w:color w:val="auto"/>
                <w:sz w:val="24"/>
                <w:szCs w:val="24"/>
                <w:highlight w:val="none"/>
                <w:shd w:val="clear" w:color="auto" w:fill="FFFFFF"/>
                <w:lang w:val="en-US" w:eastAsia="zh-CN"/>
              </w:rPr>
              <w:t>得2分；</w:t>
            </w:r>
            <w:r>
              <w:rPr>
                <w:rFonts w:hint="eastAsia" w:ascii="宋体" w:hAnsi="宋体" w:eastAsia="宋体" w:cs="宋体"/>
                <w:color w:val="auto"/>
                <w:sz w:val="24"/>
                <w:szCs w:val="24"/>
                <w:highlight w:val="none"/>
                <w:shd w:val="clear" w:color="auto" w:fill="FFFFFF"/>
                <w:lang w:val="en-US" w:eastAsia="zh-CN"/>
              </w:rPr>
              <w:t>方案内容全面</w:t>
            </w:r>
            <w:r>
              <w:rPr>
                <w:rFonts w:hint="eastAsia" w:ascii="宋体" w:hAnsi="宋体" w:cs="宋体"/>
                <w:color w:val="auto"/>
                <w:sz w:val="24"/>
                <w:szCs w:val="24"/>
                <w:highlight w:val="none"/>
                <w:shd w:val="clear" w:color="auto" w:fill="FFFFFF"/>
                <w:lang w:val="en-US" w:eastAsia="zh-CN"/>
              </w:rPr>
              <w:t>有所欠缺</w:t>
            </w:r>
            <w:r>
              <w:rPr>
                <w:rFonts w:hint="eastAsia" w:ascii="宋体" w:hAnsi="宋体" w:eastAsia="宋体" w:cs="宋体"/>
                <w:color w:val="auto"/>
                <w:sz w:val="24"/>
                <w:szCs w:val="24"/>
                <w:highlight w:val="none"/>
                <w:shd w:val="clear" w:color="auto" w:fill="FFFFFF"/>
                <w:lang w:val="en-US" w:eastAsia="zh-CN"/>
              </w:rPr>
              <w:t>、重难点把握</w:t>
            </w:r>
            <w:r>
              <w:rPr>
                <w:rFonts w:hint="eastAsia" w:ascii="宋体" w:hAnsi="宋体" w:cs="宋体"/>
                <w:color w:val="auto"/>
                <w:sz w:val="24"/>
                <w:szCs w:val="24"/>
                <w:highlight w:val="none"/>
                <w:shd w:val="clear" w:color="auto" w:fill="FFFFFF"/>
                <w:lang w:val="en-US" w:eastAsia="zh-CN"/>
              </w:rPr>
              <w:t>模糊</w:t>
            </w:r>
            <w:r>
              <w:rPr>
                <w:rFonts w:hint="eastAsia" w:ascii="宋体" w:hAnsi="宋体" w:eastAsia="宋体" w:cs="宋体"/>
                <w:color w:val="auto"/>
                <w:sz w:val="24"/>
                <w:szCs w:val="24"/>
                <w:highlight w:val="none"/>
                <w:shd w:val="clear" w:color="auto" w:fill="FFFFFF"/>
                <w:lang w:val="en-US" w:eastAsia="zh-CN"/>
              </w:rPr>
              <w:t>、实施过程问题考虑</w:t>
            </w:r>
            <w:r>
              <w:rPr>
                <w:rFonts w:hint="eastAsia" w:ascii="宋体" w:hAnsi="宋体" w:cs="宋体"/>
                <w:color w:val="auto"/>
                <w:sz w:val="24"/>
                <w:szCs w:val="24"/>
                <w:highlight w:val="none"/>
                <w:shd w:val="clear" w:color="auto" w:fill="FFFFFF"/>
                <w:lang w:val="en-US" w:eastAsia="zh-CN"/>
              </w:rPr>
              <w:t>不周</w:t>
            </w:r>
            <w:r>
              <w:rPr>
                <w:rFonts w:hint="eastAsia" w:ascii="宋体" w:hAnsi="宋体" w:eastAsia="宋体" w:cs="宋体"/>
                <w:color w:val="auto"/>
                <w:sz w:val="24"/>
                <w:szCs w:val="24"/>
                <w:highlight w:val="none"/>
                <w:shd w:val="clear" w:color="auto" w:fill="FFFFFF"/>
                <w:lang w:val="en-US" w:eastAsia="zh-CN"/>
              </w:rPr>
              <w:t>、</w:t>
            </w:r>
            <w:r>
              <w:rPr>
                <w:rFonts w:hint="eastAsia" w:ascii="宋体" w:hAnsi="宋体" w:cs="宋体"/>
                <w:color w:val="auto"/>
                <w:sz w:val="24"/>
                <w:szCs w:val="24"/>
                <w:highlight w:val="none"/>
                <w:shd w:val="clear" w:color="auto" w:fill="FFFFFF"/>
                <w:lang w:val="en-US" w:eastAsia="zh-CN"/>
              </w:rPr>
              <w:t>安全施工处理措施</w:t>
            </w:r>
            <w:r>
              <w:rPr>
                <w:rFonts w:hint="eastAsia" w:ascii="宋体" w:hAnsi="宋体" w:eastAsia="宋体" w:cs="宋体"/>
                <w:color w:val="auto"/>
                <w:sz w:val="24"/>
                <w:szCs w:val="24"/>
                <w:highlight w:val="none"/>
                <w:shd w:val="clear" w:color="auto" w:fill="FFFFFF"/>
                <w:lang w:val="en-US" w:eastAsia="zh-CN"/>
              </w:rPr>
              <w:t>安排</w:t>
            </w:r>
            <w:r>
              <w:rPr>
                <w:rFonts w:hint="eastAsia" w:ascii="宋体" w:hAnsi="宋体" w:cs="宋体"/>
                <w:color w:val="auto"/>
                <w:sz w:val="24"/>
                <w:szCs w:val="24"/>
                <w:highlight w:val="none"/>
                <w:shd w:val="clear" w:color="auto" w:fill="FFFFFF"/>
                <w:lang w:val="en-US" w:eastAsia="zh-CN"/>
              </w:rPr>
              <w:t>欠妥得1分；未提供本项不得分。</w:t>
            </w:r>
          </w:p>
        </w:tc>
        <w:tc>
          <w:tcPr>
            <w:tcW w:w="353" w:type="pct"/>
            <w:tcBorders>
              <w:top w:val="single" w:color="auto" w:sz="4" w:space="0"/>
              <w:left w:val="nil"/>
              <w:bottom w:val="single" w:color="auto" w:sz="4" w:space="0"/>
              <w:right w:val="single" w:color="auto" w:sz="4" w:space="0"/>
            </w:tcBorders>
            <w:noWrap w:val="0"/>
            <w:vAlign w:val="center"/>
          </w:tcPr>
          <w:p w14:paraId="2DD0BC99">
            <w:pPr>
              <w:keepNext w:val="0"/>
              <w:keepLines w:val="0"/>
              <w:pageBreakBefore w:val="0"/>
              <w:widowControl w:val="0"/>
              <w:kinsoku/>
              <w:overflowPunct/>
              <w:topLinePunct w:val="0"/>
              <w:bidi w:val="0"/>
              <w:snapToGrid/>
              <w:spacing w:line="460" w:lineRule="exact"/>
              <w:ind w:left="0" w:firstLine="0"/>
              <w:jc w:val="center"/>
              <w:textAlignment w:val="baseline"/>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w:t>
            </w:r>
          </w:p>
        </w:tc>
      </w:tr>
    </w:tbl>
    <w:p w14:paraId="25BBFE4D">
      <w:pPr>
        <w:autoSpaceDE w:val="0"/>
        <w:autoSpaceDN w:val="0"/>
        <w:adjustRightInd w:val="0"/>
        <w:snapToGrid w:val="0"/>
        <w:spacing w:line="460" w:lineRule="exact"/>
        <w:ind w:firstLine="562" w:firstLineChars="200"/>
        <w:rPr>
          <w:rFonts w:hint="eastAsia" w:ascii="宋体" w:hAnsi="宋体" w:eastAsia="宋体" w:cs="宋体"/>
          <w:color w:val="auto"/>
          <w:sz w:val="28"/>
          <w:szCs w:val="28"/>
          <w:highlight w:val="none"/>
        </w:rPr>
      </w:pPr>
      <w:r>
        <w:rPr>
          <w:rFonts w:hint="eastAsia" w:ascii="宋体" w:hAnsi="宋体" w:eastAsia="宋体" w:cs="宋体"/>
          <w:b/>
          <w:color w:val="auto"/>
          <w:sz w:val="28"/>
          <w:szCs w:val="28"/>
          <w:highlight w:val="none"/>
        </w:rPr>
        <w:t>（四）</w:t>
      </w:r>
      <w:r>
        <w:rPr>
          <w:rFonts w:hint="eastAsia" w:ascii="宋体" w:hAnsi="宋体" w:eastAsia="宋体" w:cs="宋体"/>
          <w:b/>
          <w:color w:val="auto"/>
          <w:sz w:val="28"/>
          <w:szCs w:val="28"/>
          <w:highlight w:val="none"/>
          <w:lang w:val="zh-CN"/>
        </w:rPr>
        <w:t>价格分</w:t>
      </w:r>
      <w:r>
        <w:rPr>
          <w:rFonts w:hint="eastAsia" w:ascii="宋体" w:hAnsi="宋体" w:eastAsia="宋体" w:cs="宋体"/>
          <w:b/>
          <w:color w:val="auto"/>
          <w:sz w:val="28"/>
          <w:szCs w:val="28"/>
          <w:highlight w:val="none"/>
        </w:rPr>
        <w:t>：</w:t>
      </w:r>
      <w:r>
        <w:rPr>
          <w:rFonts w:hint="eastAsia" w:ascii="宋体" w:hAnsi="宋体" w:eastAsia="宋体" w:cs="宋体"/>
          <w:color w:val="auto"/>
          <w:kern w:val="0"/>
          <w:sz w:val="28"/>
          <w:szCs w:val="28"/>
          <w:highlight w:val="none"/>
          <w:lang w:val="en-US" w:eastAsia="zh-CN" w:bidi="ar"/>
        </w:rPr>
        <w:t>30</w:t>
      </w:r>
      <w:r>
        <w:rPr>
          <w:rFonts w:hint="eastAsia" w:ascii="宋体" w:hAnsi="宋体" w:eastAsia="宋体" w:cs="宋体"/>
          <w:color w:val="auto"/>
          <w:kern w:val="0"/>
          <w:sz w:val="28"/>
          <w:szCs w:val="28"/>
          <w:highlight w:val="none"/>
          <w:lang w:bidi="ar"/>
        </w:rPr>
        <w:t>分</w:t>
      </w:r>
    </w:p>
    <w:p w14:paraId="6B662C9D">
      <w:pPr>
        <w:pStyle w:val="87"/>
        <w:snapToGrid w:val="0"/>
        <w:spacing w:before="0" w:after="0" w:line="460" w:lineRule="exact"/>
        <w:ind w:left="0" w:right="0" w:firstLine="560" w:firstLineChars="200"/>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价格分统一采用低价优先法计算，即满足招标文件要求且投标价格最低的投标报价为评标基准价，其价格分为满分。其他投标人的价格分统一按照下列公式计算：</w:t>
      </w:r>
    </w:p>
    <w:p w14:paraId="3299A84A">
      <w:pPr>
        <w:pStyle w:val="87"/>
        <w:snapToGrid w:val="0"/>
        <w:spacing w:before="0" w:after="0" w:line="460" w:lineRule="exact"/>
        <w:ind w:left="0" w:right="0" w:firstLine="560" w:firstLineChars="200"/>
        <w:jc w:val="both"/>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投标报价得分=（评标基准价/投标报价）×价格权值×100</w:t>
      </w:r>
    </w:p>
    <w:p w14:paraId="02D7D90B">
      <w:pPr>
        <w:adjustRightInd w:val="0"/>
        <w:snapToGrid w:val="0"/>
        <w:spacing w:line="460" w:lineRule="exact"/>
        <w:ind w:firstLine="562" w:firstLineChars="200"/>
        <w:rPr>
          <w:rFonts w:hint="eastAsia" w:ascii="宋体" w:hAnsi="宋体" w:eastAsia="宋体" w:cs="宋体"/>
          <w:bCs/>
          <w:color w:val="auto"/>
          <w:sz w:val="28"/>
          <w:szCs w:val="28"/>
          <w:highlight w:val="none"/>
        </w:rPr>
      </w:pPr>
      <w:r>
        <w:rPr>
          <w:rFonts w:hint="eastAsia" w:ascii="宋体" w:hAnsi="宋体" w:eastAsia="宋体" w:cs="宋体"/>
          <w:b/>
          <w:color w:val="auto"/>
          <w:sz w:val="28"/>
          <w:szCs w:val="28"/>
          <w:highlight w:val="none"/>
        </w:rPr>
        <w:t>（五）中标人的确定</w:t>
      </w:r>
    </w:p>
    <w:p w14:paraId="22D965B0">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评委会汇总各评委评分后，按照得分从高到低的顺序推荐三名中标候选人，并编写评标报告。</w:t>
      </w:r>
    </w:p>
    <w:p w14:paraId="5156BF1E">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招标人委托评标委员会直接确定排名第一的中标候选人为中标人。</w:t>
      </w:r>
    </w:p>
    <w:p w14:paraId="598DBB37">
      <w:pPr>
        <w:adjustRightInd w:val="0"/>
        <w:snapToGrid w:val="0"/>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cs="宋体"/>
          <w:bCs/>
          <w:color w:val="auto"/>
          <w:sz w:val="28"/>
          <w:szCs w:val="28"/>
          <w:highlight w:val="none"/>
          <w:lang w:eastAsia="zh-CN"/>
        </w:rPr>
        <w:t>中标人</w:t>
      </w:r>
      <w:r>
        <w:rPr>
          <w:rFonts w:hint="eastAsia" w:ascii="宋体" w:hAnsi="宋体" w:eastAsia="宋体" w:cs="宋体"/>
          <w:bCs/>
          <w:color w:val="auto"/>
          <w:sz w:val="28"/>
          <w:szCs w:val="28"/>
          <w:highlight w:val="none"/>
        </w:rPr>
        <w:t>无故弃标，或者因其自身原因不再具备成交资格等，招标人可以按照评审委员会评审结果，按综合得分从高向低排序，由其他成交候选人递补，或重新组织采购。</w:t>
      </w:r>
    </w:p>
    <w:p w14:paraId="28E42574">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（六）招标人代表宣布评标结果。</w:t>
      </w:r>
    </w:p>
    <w:p w14:paraId="6FB1CB41">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（七）公告中标结果</w:t>
      </w:r>
    </w:p>
    <w:p w14:paraId="4CA9D976">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自确定中标人之日起2个工作日内，在江苏航运职业技术学院网站公告中标结果，公告期限为1个工作日。</w:t>
      </w:r>
    </w:p>
    <w:p w14:paraId="2CA4F97C">
      <w:pPr>
        <w:adjustRightInd w:val="0"/>
        <w:snapToGrid w:val="0"/>
        <w:spacing w:line="460" w:lineRule="exact"/>
        <w:ind w:firstLine="562" w:firstLineChars="200"/>
        <w:rPr>
          <w:rFonts w:hint="eastAsia" w:ascii="宋体" w:hAnsi="宋体" w:eastAsia="宋体" w:cs="宋体"/>
          <w:b/>
          <w:bCs/>
          <w:color w:val="auto"/>
          <w:sz w:val="28"/>
          <w:szCs w:val="28"/>
          <w:highlight w:val="none"/>
        </w:rPr>
      </w:pP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八</w:t>
      </w:r>
      <w:r>
        <w:rPr>
          <w:rFonts w:hint="eastAsia" w:ascii="宋体" w:hAnsi="宋体" w:eastAsia="宋体" w:cs="宋体"/>
          <w:b/>
          <w:color w:val="auto"/>
          <w:sz w:val="28"/>
          <w:szCs w:val="28"/>
          <w:highlight w:val="none"/>
        </w:rPr>
        <w:t>）</w:t>
      </w:r>
      <w:r>
        <w:rPr>
          <w:rFonts w:hint="eastAsia" w:ascii="宋体" w:hAnsi="宋体" w:eastAsia="宋体" w:cs="宋体"/>
          <w:b/>
          <w:bCs/>
          <w:color w:val="auto"/>
          <w:sz w:val="28"/>
          <w:szCs w:val="28"/>
          <w:highlight w:val="none"/>
        </w:rPr>
        <w:t>发放中标通知书</w:t>
      </w:r>
    </w:p>
    <w:p w14:paraId="1BCCAD81">
      <w:pPr>
        <w:adjustRightInd w:val="0"/>
        <w:snapToGrid w:val="0"/>
        <w:spacing w:line="460" w:lineRule="exact"/>
        <w:ind w:firstLine="560" w:firstLineChars="200"/>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rPr>
        <w:t>公告中标结果的同时，招标人</w:t>
      </w:r>
      <w:r>
        <w:rPr>
          <w:rFonts w:hint="eastAsia" w:ascii="宋体" w:hAnsi="宋体" w:eastAsia="宋体" w:cs="宋体"/>
          <w:bCs/>
          <w:color w:val="auto"/>
          <w:sz w:val="28"/>
          <w:szCs w:val="28"/>
          <w:highlight w:val="none"/>
        </w:rPr>
        <w:t>向</w:t>
      </w:r>
      <w:r>
        <w:rPr>
          <w:rFonts w:hint="eastAsia" w:ascii="宋体" w:hAnsi="宋体" w:cs="宋体"/>
          <w:bCs/>
          <w:color w:val="auto"/>
          <w:sz w:val="28"/>
          <w:szCs w:val="28"/>
          <w:highlight w:val="none"/>
          <w:lang w:val="en-US" w:eastAsia="zh-CN"/>
        </w:rPr>
        <w:t>中标人</w:t>
      </w:r>
      <w:r>
        <w:rPr>
          <w:rFonts w:hint="eastAsia" w:ascii="宋体" w:hAnsi="宋体" w:eastAsia="宋体" w:cs="宋体"/>
          <w:bCs/>
          <w:color w:val="auto"/>
          <w:sz w:val="28"/>
          <w:szCs w:val="28"/>
          <w:highlight w:val="none"/>
        </w:rPr>
        <w:t>发放中标通知书。</w:t>
      </w:r>
    </w:p>
    <w:p w14:paraId="6052C131">
      <w:pPr>
        <w:adjustRightInd w:val="0"/>
        <w:snapToGrid w:val="0"/>
        <w:spacing w:line="460" w:lineRule="exact"/>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中标通知书发出后，招标人不得违法改变中标结果，</w:t>
      </w:r>
      <w:r>
        <w:rPr>
          <w:rFonts w:hint="eastAsia" w:ascii="宋体" w:hAnsi="宋体" w:cs="宋体"/>
          <w:color w:val="auto"/>
          <w:sz w:val="28"/>
          <w:szCs w:val="28"/>
          <w:highlight w:val="none"/>
          <w:lang w:val="en-US" w:eastAsia="zh-CN"/>
        </w:rPr>
        <w:t>中标人</w:t>
      </w:r>
      <w:r>
        <w:rPr>
          <w:rFonts w:hint="eastAsia" w:ascii="宋体" w:hAnsi="宋体" w:eastAsia="宋体" w:cs="宋体"/>
          <w:color w:val="auto"/>
          <w:sz w:val="28"/>
          <w:szCs w:val="28"/>
          <w:highlight w:val="none"/>
        </w:rPr>
        <w:t>无正当理由不得放弃中标。</w:t>
      </w:r>
    </w:p>
    <w:p w14:paraId="01AEFD99">
      <w:pPr>
        <w:adjustRightInd w:val="0"/>
        <w:snapToGrid w:val="0"/>
        <w:spacing w:line="460" w:lineRule="exact"/>
        <w:ind w:firstLine="562" w:firstLineChars="200"/>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（九）其他</w:t>
      </w:r>
    </w:p>
    <w:p w14:paraId="2BC49B4E">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当排名第一的中标候选人无正当理由放弃中标，被查实存在影响中标结果的违法行为等情形，招标人有权按照政府采购相关法律法规的规定对其采取惩戒措施，包含但不限于列入采购失信人黑名单等措施。</w:t>
      </w:r>
    </w:p>
    <w:p w14:paraId="5FE66FE2">
      <w:pPr>
        <w:adjustRightInd w:val="0"/>
        <w:snapToGrid w:val="0"/>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当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14:paraId="7C4E03B1">
      <w:pPr>
        <w:adjustRightInd w:val="0"/>
        <w:snapToGrid w:val="0"/>
        <w:spacing w:line="420" w:lineRule="exact"/>
        <w:ind w:firstLine="562" w:firstLineChars="200"/>
        <w:rPr>
          <w:rFonts w:hint="eastAsia" w:ascii="宋体" w:hAnsi="宋体" w:eastAsia="宋体" w:cs="宋体"/>
          <w:b/>
          <w:bCs/>
          <w:color w:val="auto"/>
          <w:sz w:val="28"/>
          <w:szCs w:val="28"/>
          <w:highlight w:val="none"/>
        </w:rPr>
      </w:pPr>
    </w:p>
    <w:p w14:paraId="7335F948">
      <w:pPr>
        <w:adjustRightInd w:val="0"/>
        <w:snapToGrid w:val="0"/>
        <w:spacing w:line="420" w:lineRule="exact"/>
        <w:ind w:firstLine="643" w:firstLineChars="200"/>
        <w:jc w:val="center"/>
        <w:rPr>
          <w:rFonts w:hint="eastAsia" w:ascii="宋体" w:hAnsi="宋体" w:eastAsia="宋体" w:cs="宋体"/>
          <w:bCs/>
          <w:color w:val="auto"/>
          <w:sz w:val="36"/>
          <w:szCs w:val="36"/>
          <w:highlight w:val="none"/>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6"/>
          <w:szCs w:val="36"/>
          <w:highlight w:val="none"/>
        </w:rPr>
        <w:t>第五部分  投标文件组成</w:t>
      </w:r>
    </w:p>
    <w:p w14:paraId="05B76FA9">
      <w:pPr>
        <w:adjustRightInd w:val="0"/>
        <w:snapToGrid w:val="0"/>
        <w:spacing w:line="460" w:lineRule="exact"/>
        <w:ind w:firstLine="562" w:firstLineChars="200"/>
        <w:jc w:val="left"/>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投标文件由资格审查文件、商务技术文件、价格文件、电子响应文件四部分组成。</w:t>
      </w:r>
    </w:p>
    <w:p w14:paraId="285B0C0C">
      <w:pPr>
        <w:adjustRightInd w:val="0"/>
        <w:snapToGrid w:val="0"/>
        <w:spacing w:line="460" w:lineRule="exact"/>
        <w:ind w:firstLine="562" w:firstLineChars="200"/>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一、资格审查文件（不能出现商务技术文件、价格文件）</w:t>
      </w:r>
    </w:p>
    <w:p w14:paraId="0F3BA228">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w:t>
      </w:r>
      <w:r>
        <w:rPr>
          <w:rFonts w:hint="eastAsia" w:ascii="宋体" w:hAnsi="宋体" w:eastAsia="宋体" w:cs="宋体"/>
          <w:color w:val="auto"/>
          <w:kern w:val="0"/>
          <w:sz w:val="28"/>
          <w:szCs w:val="28"/>
          <w:highlight w:val="none"/>
        </w:rPr>
        <w:t>符合投标人资格要求的承诺函（格式见附件1）</w:t>
      </w:r>
      <w:r>
        <w:rPr>
          <w:rFonts w:hint="eastAsia" w:ascii="宋体" w:hAnsi="宋体" w:eastAsia="宋体" w:cs="宋体"/>
          <w:color w:val="auto"/>
          <w:kern w:val="0"/>
          <w:sz w:val="28"/>
          <w:szCs w:val="28"/>
          <w:highlight w:val="none"/>
          <w:lang w:val="zh-CN"/>
        </w:rPr>
        <w:t>；</w:t>
      </w:r>
    </w:p>
    <w:p w14:paraId="102CD80F">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2.法定代表人身份证明书（格式见附件2）；</w:t>
      </w:r>
    </w:p>
    <w:p w14:paraId="02F0D2B4">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3.法定代表人授权委托书原件，投标代表本人身份证复印件（格式见附件3）；</w:t>
      </w:r>
    </w:p>
    <w:p w14:paraId="6DF98F00">
      <w:pPr>
        <w:adjustRightInd w:val="0"/>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lang w:val="zh-CN"/>
        </w:rPr>
        <w:t>4.</w:t>
      </w:r>
      <w:r>
        <w:rPr>
          <w:rFonts w:hint="eastAsia" w:ascii="宋体" w:hAnsi="宋体" w:eastAsia="宋体" w:cs="宋体"/>
          <w:color w:val="auto"/>
          <w:kern w:val="0"/>
          <w:sz w:val="28"/>
          <w:szCs w:val="28"/>
          <w:highlight w:val="none"/>
        </w:rPr>
        <w:t>有效的营业执照副本复印件；</w:t>
      </w:r>
    </w:p>
    <w:p w14:paraId="475E5C7A">
      <w:pPr>
        <w:adjustRightInd w:val="0"/>
        <w:snapToGrid w:val="0"/>
        <w:spacing w:line="460" w:lineRule="exact"/>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5.</w:t>
      </w:r>
      <w:r>
        <w:rPr>
          <w:rFonts w:hint="eastAsia" w:ascii="宋体" w:hAnsi="宋体" w:cs="宋体"/>
          <w:color w:val="auto"/>
          <w:kern w:val="0"/>
          <w:sz w:val="28"/>
          <w:szCs w:val="28"/>
          <w:highlight w:val="none"/>
          <w:lang w:val="en-US" w:eastAsia="zh-CN"/>
        </w:rPr>
        <w:t>投标人</w:t>
      </w:r>
      <w:r>
        <w:rPr>
          <w:rFonts w:hint="eastAsia" w:ascii="宋体" w:hAnsi="宋体" w:eastAsia="宋体" w:cs="宋体"/>
          <w:color w:val="auto"/>
          <w:kern w:val="0"/>
          <w:sz w:val="28"/>
          <w:szCs w:val="28"/>
          <w:highlight w:val="none"/>
          <w:lang w:val="en-US" w:eastAsia="zh-CN"/>
        </w:rPr>
        <w:t>应符合应急管理部颁布的《消防技术服务机构从业条件》（应急〔2019〕88号)的要求，社会消防技术服务信息系统中服务类型包含“消防设施维护保养”，需提供“社会消防技术服务信息系统（https://shhxf.119.gov.cn/templet/index_7.jsp）-消防机构信息”栏目的本单位基本信息截图打印件（加盖</w:t>
      </w:r>
      <w:r>
        <w:rPr>
          <w:rFonts w:hint="eastAsia" w:ascii="宋体" w:hAnsi="宋体" w:cs="宋体"/>
          <w:color w:val="auto"/>
          <w:kern w:val="0"/>
          <w:sz w:val="28"/>
          <w:szCs w:val="28"/>
          <w:highlight w:val="none"/>
          <w:lang w:val="en-US" w:eastAsia="zh-CN"/>
        </w:rPr>
        <w:t>投标</w:t>
      </w:r>
      <w:r>
        <w:rPr>
          <w:rFonts w:hint="eastAsia" w:ascii="宋体" w:hAnsi="宋体" w:eastAsia="宋体" w:cs="宋体"/>
          <w:color w:val="auto"/>
          <w:kern w:val="0"/>
          <w:sz w:val="28"/>
          <w:szCs w:val="28"/>
          <w:highlight w:val="none"/>
          <w:lang w:val="en-US" w:eastAsia="zh-CN"/>
        </w:rPr>
        <w:t>单位公章）并确保可以公开查询；</w:t>
      </w:r>
    </w:p>
    <w:p w14:paraId="39575FB0">
      <w:pPr>
        <w:adjustRightInd w:val="0"/>
        <w:snapToGrid w:val="0"/>
        <w:spacing w:line="460" w:lineRule="exact"/>
        <w:ind w:firstLine="562" w:firstLineChars="200"/>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二、商务技术文件（不能出现价格文件）</w:t>
      </w:r>
    </w:p>
    <w:p w14:paraId="2E10B483">
      <w:pPr>
        <w:adjustRightInd w:val="0"/>
        <w:snapToGrid w:val="0"/>
        <w:spacing w:line="460" w:lineRule="exact"/>
        <w:ind w:firstLine="560" w:firstLineChars="200"/>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1.业绩、承诺、拟投入成员一览表（格式自拟）；</w:t>
      </w:r>
    </w:p>
    <w:p w14:paraId="54B7AEFF">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val="zh-CN"/>
        </w:rPr>
        <w:t>.为方便评委评审，请</w:t>
      </w:r>
      <w:r>
        <w:rPr>
          <w:rFonts w:hint="eastAsia" w:ascii="宋体" w:hAnsi="宋体" w:cs="宋体"/>
          <w:color w:val="auto"/>
          <w:kern w:val="0"/>
          <w:sz w:val="28"/>
          <w:szCs w:val="28"/>
          <w:highlight w:val="none"/>
          <w:lang w:val="en-US" w:eastAsia="zh-CN"/>
        </w:rPr>
        <w:t>投标人</w:t>
      </w:r>
      <w:r>
        <w:rPr>
          <w:rFonts w:hint="eastAsia" w:ascii="宋体" w:hAnsi="宋体" w:eastAsia="宋体" w:cs="宋体"/>
          <w:color w:val="auto"/>
          <w:kern w:val="0"/>
          <w:sz w:val="28"/>
          <w:szCs w:val="28"/>
          <w:highlight w:val="none"/>
          <w:lang w:val="zh-CN"/>
        </w:rPr>
        <w:t>按评审办法中所涉及的事项顺序进行编制，可以补充相关材料；</w:t>
      </w:r>
    </w:p>
    <w:p w14:paraId="6C6A78B0">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w:t>
      </w:r>
      <w:r>
        <w:rPr>
          <w:rFonts w:hint="eastAsia" w:ascii="宋体" w:hAnsi="宋体" w:eastAsia="宋体" w:cs="宋体"/>
          <w:color w:val="auto"/>
          <w:kern w:val="0"/>
          <w:sz w:val="28"/>
          <w:szCs w:val="28"/>
          <w:highlight w:val="none"/>
          <w:lang w:val="zh-CN"/>
        </w:rPr>
        <w:t>评审办法中未涉及的事项，</w:t>
      </w:r>
      <w:r>
        <w:rPr>
          <w:rFonts w:hint="eastAsia" w:ascii="宋体" w:hAnsi="宋体" w:cs="宋体"/>
          <w:color w:val="auto"/>
          <w:kern w:val="0"/>
          <w:sz w:val="28"/>
          <w:szCs w:val="28"/>
          <w:highlight w:val="none"/>
          <w:lang w:val="en-US" w:eastAsia="zh-CN"/>
        </w:rPr>
        <w:t>投标人</w:t>
      </w:r>
      <w:r>
        <w:rPr>
          <w:rFonts w:hint="eastAsia" w:ascii="宋体" w:hAnsi="宋体" w:eastAsia="宋体" w:cs="宋体"/>
          <w:color w:val="auto"/>
          <w:kern w:val="0"/>
          <w:sz w:val="28"/>
          <w:szCs w:val="28"/>
          <w:highlight w:val="none"/>
          <w:lang w:val="zh-CN"/>
        </w:rPr>
        <w:t>认为需要提交的其他资料。</w:t>
      </w:r>
    </w:p>
    <w:p w14:paraId="3F34D9F3">
      <w:pPr>
        <w:adjustRightInd w:val="0"/>
        <w:snapToGrid w:val="0"/>
        <w:spacing w:line="460" w:lineRule="exact"/>
        <w:ind w:firstLine="562" w:firstLineChars="200"/>
        <w:rPr>
          <w:rFonts w:hint="eastAsia" w:ascii="宋体" w:hAnsi="宋体" w:eastAsia="宋体" w:cs="宋体"/>
          <w:b/>
          <w:bCs/>
          <w:color w:val="auto"/>
          <w:kern w:val="0"/>
          <w:sz w:val="28"/>
          <w:szCs w:val="28"/>
          <w:highlight w:val="none"/>
          <w:lang w:val="zh-CN"/>
        </w:rPr>
      </w:pPr>
      <w:r>
        <w:rPr>
          <w:rFonts w:hint="eastAsia" w:ascii="宋体" w:hAnsi="宋体" w:eastAsia="宋体" w:cs="宋体"/>
          <w:b/>
          <w:bCs/>
          <w:color w:val="auto"/>
          <w:kern w:val="0"/>
          <w:sz w:val="28"/>
          <w:szCs w:val="28"/>
          <w:highlight w:val="none"/>
          <w:lang w:val="zh-CN"/>
        </w:rPr>
        <w:t>三、价格文件</w:t>
      </w:r>
    </w:p>
    <w:p w14:paraId="754667A7">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lang w:val="zh-CN"/>
        </w:rPr>
        <w:t>1.开标一览表（格式见附件</w:t>
      </w: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val="zh-CN"/>
        </w:rPr>
        <w:t>）；</w:t>
      </w:r>
    </w:p>
    <w:p w14:paraId="6DDBEB1E">
      <w:pPr>
        <w:adjustRightInd w:val="0"/>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2.分项报价表（格式见附件</w:t>
      </w: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rPr>
        <w:t>）；</w:t>
      </w:r>
    </w:p>
    <w:p w14:paraId="470FF33B">
      <w:pPr>
        <w:adjustRightInd w:val="0"/>
        <w:snapToGrid w:val="0"/>
        <w:spacing w:line="4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3.供应商信用承诺书（格式见附件</w:t>
      </w:r>
      <w:r>
        <w:rPr>
          <w:rFonts w:hint="eastAsia" w:ascii="宋体" w:hAnsi="宋体" w:eastAsia="宋体" w:cs="宋体"/>
          <w:color w:val="auto"/>
          <w:kern w:val="0"/>
          <w:sz w:val="28"/>
          <w:szCs w:val="28"/>
          <w:highlight w:val="none"/>
          <w:lang w:val="en-US" w:eastAsia="zh-CN"/>
        </w:rPr>
        <w:t>6</w:t>
      </w:r>
      <w:r>
        <w:rPr>
          <w:rFonts w:hint="eastAsia" w:ascii="宋体" w:hAnsi="宋体" w:eastAsia="宋体" w:cs="宋体"/>
          <w:color w:val="auto"/>
          <w:kern w:val="0"/>
          <w:sz w:val="28"/>
          <w:szCs w:val="28"/>
          <w:highlight w:val="none"/>
        </w:rPr>
        <w:t>）。</w:t>
      </w:r>
    </w:p>
    <w:p w14:paraId="0D42268C">
      <w:pPr>
        <w:adjustRightInd w:val="0"/>
        <w:snapToGrid w:val="0"/>
        <w:spacing w:line="460" w:lineRule="exact"/>
        <w:ind w:firstLine="562" w:firstLineChars="200"/>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四、电子响应文件（一份、单独密封提供）</w:t>
      </w:r>
    </w:p>
    <w:p w14:paraId="0FFB44D2">
      <w:pPr>
        <w:adjustRightInd w:val="0"/>
        <w:snapToGrid w:val="0"/>
        <w:spacing w:line="460" w:lineRule="exact"/>
        <w:ind w:firstLine="560" w:firstLineChars="200"/>
        <w:rPr>
          <w:rFonts w:hint="eastAsia" w:ascii="宋体" w:hAnsi="宋体" w:eastAsia="宋体" w:cs="宋体"/>
          <w:color w:val="auto"/>
          <w:kern w:val="0"/>
          <w:sz w:val="28"/>
          <w:szCs w:val="28"/>
          <w:highlight w:val="none"/>
          <w:lang w:val="zh-CN"/>
        </w:rPr>
      </w:pPr>
      <w:r>
        <w:rPr>
          <w:rFonts w:hint="eastAsia" w:ascii="宋体" w:hAnsi="宋体" w:eastAsia="宋体" w:cs="宋体"/>
          <w:color w:val="auto"/>
          <w:kern w:val="0"/>
          <w:sz w:val="28"/>
          <w:szCs w:val="28"/>
          <w:highlight w:val="none"/>
        </w:rPr>
        <w:t>电子响应文件的内容为“资格审查文件、商务技术文件、价格文件”的打印盖章（或电子签章）后的响应文件的扫描件（资格审查文件、商务技术文件、价格文件需分别逐页连续扫描为三个独立的PDF文件）。</w:t>
      </w:r>
    </w:p>
    <w:p w14:paraId="62229678">
      <w:pPr>
        <w:snapToGrid w:val="0"/>
        <w:spacing w:line="46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r>
        <w:rPr>
          <w:rFonts w:hint="eastAsia" w:ascii="宋体" w:hAnsi="宋体" w:eastAsia="宋体" w:cs="宋体"/>
          <w:color w:val="auto"/>
          <w:kern w:val="0"/>
          <w:sz w:val="32"/>
          <w:szCs w:val="32"/>
          <w:highlight w:val="none"/>
          <w:lang w:val="zh-CN"/>
        </w:rPr>
        <w:t>附件1</w:t>
      </w:r>
    </w:p>
    <w:p w14:paraId="7F9E3AFB">
      <w:pPr>
        <w:spacing w:line="460" w:lineRule="exact"/>
        <w:jc w:val="center"/>
        <w:rPr>
          <w:rFonts w:hint="eastAsia" w:ascii="宋体" w:hAnsi="宋体" w:eastAsia="宋体" w:cs="宋体"/>
          <w:b/>
          <w:color w:val="auto"/>
          <w:sz w:val="30"/>
          <w:szCs w:val="30"/>
          <w:highlight w:val="none"/>
        </w:rPr>
      </w:pPr>
    </w:p>
    <w:p w14:paraId="3D4DA775">
      <w:pPr>
        <w:spacing w:line="460" w:lineRule="exact"/>
        <w:jc w:val="center"/>
        <w:rPr>
          <w:rFonts w:hint="eastAsia" w:ascii="宋体" w:hAnsi="宋体" w:eastAsia="宋体" w:cs="宋体"/>
          <w:b/>
          <w:color w:val="auto"/>
          <w:sz w:val="30"/>
          <w:szCs w:val="30"/>
          <w:highlight w:val="none"/>
        </w:rPr>
      </w:pPr>
    </w:p>
    <w:p w14:paraId="2B3DA2B8">
      <w:pPr>
        <w:spacing w:line="460" w:lineRule="exact"/>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符合投标人资格要求的承诺函</w:t>
      </w:r>
    </w:p>
    <w:p w14:paraId="7F440A26">
      <w:pPr>
        <w:spacing w:line="460" w:lineRule="exact"/>
        <w:rPr>
          <w:rFonts w:hint="eastAsia" w:ascii="宋体" w:hAnsi="宋体" w:eastAsia="宋体" w:cs="宋体"/>
          <w:b/>
          <w:bCs/>
          <w:color w:val="auto"/>
          <w:sz w:val="44"/>
          <w:szCs w:val="44"/>
          <w:highlight w:val="none"/>
        </w:rPr>
      </w:pPr>
      <w:r>
        <w:rPr>
          <w:rFonts w:hint="eastAsia" w:ascii="宋体" w:hAnsi="宋体" w:eastAsia="宋体" w:cs="宋体"/>
          <w:b/>
          <w:bCs/>
          <w:color w:val="auto"/>
          <w:sz w:val="24"/>
          <w:szCs w:val="21"/>
          <w:highlight w:val="none"/>
        </w:rPr>
        <w:t xml:space="preserve">                       </w:t>
      </w:r>
      <w:r>
        <w:rPr>
          <w:rFonts w:hint="eastAsia" w:ascii="宋体" w:hAnsi="宋体" w:eastAsia="宋体" w:cs="宋体"/>
          <w:b/>
          <w:bCs/>
          <w:color w:val="auto"/>
          <w:sz w:val="44"/>
          <w:szCs w:val="44"/>
          <w:highlight w:val="none"/>
        </w:rPr>
        <w:t xml:space="preserve">   </w:t>
      </w:r>
    </w:p>
    <w:p w14:paraId="303F016F">
      <w:pPr>
        <w:spacing w:line="460" w:lineRule="exact"/>
        <w:ind w:firstLine="480" w:firstLineChars="200"/>
        <w:rPr>
          <w:rFonts w:hint="eastAsia" w:ascii="宋体" w:hAnsi="宋体" w:eastAsia="宋体" w:cs="宋体"/>
          <w:b/>
          <w:bCs/>
          <w:color w:val="auto"/>
          <w:sz w:val="24"/>
          <w:highlight w:val="none"/>
        </w:rPr>
      </w:pPr>
      <w:r>
        <w:rPr>
          <w:rFonts w:hint="eastAsia" w:ascii="宋体" w:hAnsi="宋体" w:eastAsia="宋体" w:cs="宋体"/>
          <w:bCs/>
          <w:color w:val="auto"/>
          <w:sz w:val="24"/>
          <w:highlight w:val="none"/>
        </w:rPr>
        <w:t>我单位参加</w:t>
      </w:r>
      <w:r>
        <w:rPr>
          <w:rFonts w:hint="eastAsia" w:ascii="宋体" w:hAnsi="宋体" w:eastAsia="宋体" w:cs="宋体"/>
          <w:bCs/>
          <w:color w:val="auto"/>
          <w:sz w:val="24"/>
          <w:szCs w:val="21"/>
          <w:highlight w:val="none"/>
          <w:u w:val="single"/>
        </w:rPr>
        <w:t>________________ _</w:t>
      </w:r>
      <w:r>
        <w:rPr>
          <w:rFonts w:hint="eastAsia" w:ascii="宋体" w:hAnsi="宋体" w:eastAsia="宋体" w:cs="宋体"/>
          <w:bCs/>
          <w:color w:val="auto"/>
          <w:sz w:val="24"/>
          <w:szCs w:val="21"/>
          <w:highlight w:val="none"/>
        </w:rPr>
        <w:t>（项目名称），</w:t>
      </w:r>
      <w:r>
        <w:rPr>
          <w:rFonts w:hint="eastAsia" w:ascii="宋体" w:hAnsi="宋体" w:eastAsia="宋体" w:cs="宋体"/>
          <w:bCs/>
          <w:color w:val="auto"/>
          <w:sz w:val="24"/>
          <w:szCs w:val="21"/>
          <w:highlight w:val="none"/>
          <w:u w:val="single"/>
        </w:rPr>
        <w:t>_______ __________</w:t>
      </w:r>
      <w:r>
        <w:rPr>
          <w:rFonts w:hint="eastAsia" w:ascii="宋体" w:hAnsi="宋体" w:eastAsia="宋体" w:cs="宋体"/>
          <w:bCs/>
          <w:color w:val="auto"/>
          <w:sz w:val="24"/>
          <w:szCs w:val="21"/>
          <w:highlight w:val="none"/>
        </w:rPr>
        <w:t>（项目编号）投标活动。现做出如下承诺：</w:t>
      </w:r>
    </w:p>
    <w:p w14:paraId="62F3D75D">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bCs/>
          <w:color w:val="auto"/>
          <w:sz w:val="24"/>
          <w:szCs w:val="21"/>
          <w:highlight w:val="none"/>
        </w:rPr>
        <w:t>1.我单位具有独立承担民事责任的能力；</w:t>
      </w:r>
    </w:p>
    <w:p w14:paraId="561FDF17">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2.我单位具有良好的商业信誉和健全的财务会计制度；</w:t>
      </w:r>
    </w:p>
    <w:p w14:paraId="1DAF63B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3.我单位具有履行合同所必需的设备和专业技术能力；</w:t>
      </w:r>
    </w:p>
    <w:p w14:paraId="76E13772">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4.我单位有依法缴纳税收和社会保障资金的良好记录；</w:t>
      </w:r>
    </w:p>
    <w:p w14:paraId="73EFBF1A">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5.我单位参加采购活动前三年内，在经营活动中没有重大违法记录。</w:t>
      </w:r>
    </w:p>
    <w:p w14:paraId="3AA20A9A">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6.我单位满足法律、行政法规规定的其他条件。</w:t>
      </w:r>
    </w:p>
    <w:p w14:paraId="41B30C43">
      <w:pPr>
        <w:spacing w:line="460" w:lineRule="exact"/>
        <w:ind w:firstLine="480" w:firstLineChars="200"/>
        <w:rPr>
          <w:rFonts w:hint="eastAsia" w:ascii="宋体" w:hAnsi="宋体" w:eastAsia="宋体" w:cs="宋体"/>
          <w:color w:val="auto"/>
          <w:sz w:val="24"/>
          <w:highlight w:val="none"/>
        </w:rPr>
      </w:pPr>
    </w:p>
    <w:p w14:paraId="17C2DEE8">
      <w:pPr>
        <w:spacing w:line="460" w:lineRule="exact"/>
        <w:ind w:firstLine="480" w:firstLineChars="200"/>
        <w:rPr>
          <w:rFonts w:hint="eastAsia" w:ascii="宋体" w:hAnsi="宋体" w:eastAsia="宋体" w:cs="宋体"/>
          <w:color w:val="auto"/>
          <w:sz w:val="24"/>
          <w:highlight w:val="none"/>
        </w:rPr>
      </w:pPr>
    </w:p>
    <w:p w14:paraId="1F069282">
      <w:pPr>
        <w:spacing w:line="460" w:lineRule="exact"/>
        <w:ind w:firstLine="480" w:firstLineChars="200"/>
        <w:rPr>
          <w:rFonts w:hint="eastAsia" w:ascii="宋体" w:hAnsi="宋体" w:eastAsia="宋体" w:cs="宋体"/>
          <w:bCs/>
          <w:color w:val="auto"/>
          <w:sz w:val="24"/>
          <w:szCs w:val="21"/>
          <w:highlight w:val="none"/>
        </w:rPr>
      </w:pPr>
    </w:p>
    <w:p w14:paraId="356FEB45">
      <w:pPr>
        <w:spacing w:line="460" w:lineRule="exact"/>
        <w:ind w:firstLine="480" w:firstLineChars="200"/>
        <w:rPr>
          <w:rFonts w:hint="eastAsia" w:ascii="宋体" w:hAnsi="宋体" w:eastAsia="宋体" w:cs="宋体"/>
          <w:bCs/>
          <w:color w:val="auto"/>
          <w:sz w:val="24"/>
          <w:szCs w:val="21"/>
          <w:highlight w:val="none"/>
        </w:rPr>
      </w:pPr>
    </w:p>
    <w:p w14:paraId="6505AC60">
      <w:pPr>
        <w:spacing w:line="460" w:lineRule="exact"/>
        <w:ind w:firstLine="480" w:firstLineChars="200"/>
        <w:rPr>
          <w:rFonts w:hint="eastAsia" w:ascii="宋体" w:hAnsi="宋体" w:eastAsia="宋体" w:cs="宋体"/>
          <w:bCs/>
          <w:color w:val="auto"/>
          <w:sz w:val="24"/>
          <w:szCs w:val="21"/>
          <w:highlight w:val="none"/>
        </w:rPr>
      </w:pPr>
    </w:p>
    <w:p w14:paraId="52BD2E8F">
      <w:pPr>
        <w:spacing w:line="460" w:lineRule="exact"/>
        <w:ind w:firstLine="480" w:firstLineChars="200"/>
        <w:jc w:val="center"/>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承诺人名称（公章）：</w:t>
      </w:r>
    </w:p>
    <w:p w14:paraId="697F9148">
      <w:pPr>
        <w:spacing w:line="460" w:lineRule="exact"/>
        <w:ind w:firstLine="480" w:firstLineChars="200"/>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w:t>
      </w:r>
    </w:p>
    <w:p w14:paraId="2663A3EE">
      <w:pPr>
        <w:spacing w:line="460" w:lineRule="exact"/>
        <w:ind w:firstLine="480" w:firstLineChars="200"/>
        <w:jc w:val="right"/>
        <w:rPr>
          <w:rFonts w:hint="eastAsia" w:ascii="宋体" w:hAnsi="宋体" w:eastAsia="宋体" w:cs="宋体"/>
          <w:bCs/>
          <w:color w:val="auto"/>
          <w:sz w:val="24"/>
          <w:szCs w:val="21"/>
          <w:highlight w:val="none"/>
        </w:rPr>
      </w:pPr>
      <w:r>
        <w:rPr>
          <w:rFonts w:hint="eastAsia" w:ascii="宋体" w:hAnsi="宋体" w:eastAsia="宋体" w:cs="宋体"/>
          <w:bCs/>
          <w:color w:val="auto"/>
          <w:sz w:val="24"/>
          <w:szCs w:val="21"/>
          <w:highlight w:val="none"/>
        </w:rPr>
        <w:t xml:space="preserve">                                 日期：</w:t>
      </w:r>
      <w:r>
        <w:rPr>
          <w:rFonts w:hint="eastAsia" w:ascii="宋体" w:hAnsi="宋体" w:eastAsia="宋体" w:cs="宋体"/>
          <w:bCs/>
          <w:color w:val="auto"/>
          <w:sz w:val="24"/>
          <w:szCs w:val="21"/>
          <w:highlight w:val="none"/>
          <w:u w:val="single"/>
        </w:rPr>
        <w:t>______</w:t>
      </w:r>
      <w:r>
        <w:rPr>
          <w:rFonts w:hint="eastAsia" w:ascii="宋体" w:hAnsi="宋体" w:eastAsia="宋体" w:cs="宋体"/>
          <w:bCs/>
          <w:color w:val="auto"/>
          <w:sz w:val="24"/>
          <w:szCs w:val="21"/>
          <w:highlight w:val="none"/>
        </w:rPr>
        <w:t>年</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月</w:t>
      </w:r>
      <w:r>
        <w:rPr>
          <w:rFonts w:hint="eastAsia" w:ascii="宋体" w:hAnsi="宋体" w:eastAsia="宋体" w:cs="宋体"/>
          <w:bCs/>
          <w:color w:val="auto"/>
          <w:sz w:val="24"/>
          <w:szCs w:val="21"/>
          <w:highlight w:val="none"/>
          <w:u w:val="single"/>
        </w:rPr>
        <w:t xml:space="preserve">    </w:t>
      </w:r>
      <w:r>
        <w:rPr>
          <w:rFonts w:hint="eastAsia" w:ascii="宋体" w:hAnsi="宋体" w:eastAsia="宋体" w:cs="宋体"/>
          <w:bCs/>
          <w:color w:val="auto"/>
          <w:sz w:val="24"/>
          <w:szCs w:val="21"/>
          <w:highlight w:val="none"/>
        </w:rPr>
        <w:t>日</w:t>
      </w:r>
    </w:p>
    <w:p w14:paraId="22080F44">
      <w:pPr>
        <w:spacing w:line="460" w:lineRule="exact"/>
        <w:jc w:val="right"/>
        <w:rPr>
          <w:rFonts w:hint="eastAsia" w:ascii="宋体" w:hAnsi="宋体" w:eastAsia="宋体" w:cs="宋体"/>
          <w:bCs/>
          <w:color w:val="auto"/>
          <w:sz w:val="24"/>
          <w:szCs w:val="21"/>
          <w:highlight w:val="none"/>
        </w:rPr>
      </w:pPr>
    </w:p>
    <w:p w14:paraId="6D07F102">
      <w:pPr>
        <w:rPr>
          <w:rFonts w:hint="eastAsia" w:ascii="宋体" w:hAnsi="宋体" w:eastAsia="宋体" w:cs="宋体"/>
          <w:color w:val="auto"/>
          <w:szCs w:val="21"/>
          <w:highlight w:val="none"/>
        </w:rPr>
      </w:pPr>
    </w:p>
    <w:p w14:paraId="27B897C4">
      <w:pPr>
        <w:snapToGrid w:val="0"/>
        <w:spacing w:line="400" w:lineRule="exact"/>
        <w:contextualSpacing/>
        <w:rPr>
          <w:rFonts w:hint="eastAsia" w:ascii="宋体" w:hAnsi="宋体" w:eastAsia="宋体" w:cs="宋体"/>
          <w:b/>
          <w:color w:val="auto"/>
          <w:kern w:val="0"/>
          <w:sz w:val="28"/>
          <w:szCs w:val="28"/>
          <w:highlight w:val="none"/>
          <w:lang w:val="zh-CN"/>
        </w:rPr>
      </w:pPr>
    </w:p>
    <w:p w14:paraId="578C6494">
      <w:pPr>
        <w:snapToGrid w:val="0"/>
        <w:spacing w:line="400" w:lineRule="exact"/>
        <w:contextualSpacing/>
        <w:rPr>
          <w:rFonts w:hint="eastAsia" w:ascii="宋体" w:hAnsi="宋体" w:eastAsia="宋体" w:cs="宋体"/>
          <w:b/>
          <w:color w:val="auto"/>
          <w:kern w:val="0"/>
          <w:sz w:val="28"/>
          <w:szCs w:val="28"/>
          <w:highlight w:val="none"/>
          <w:lang w:val="zh-CN"/>
        </w:rPr>
      </w:pPr>
    </w:p>
    <w:p w14:paraId="2CC6187F">
      <w:pPr>
        <w:snapToGrid w:val="0"/>
        <w:spacing w:line="46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br w:type="page"/>
      </w:r>
      <w:r>
        <w:rPr>
          <w:rFonts w:hint="eastAsia" w:ascii="宋体" w:hAnsi="宋体" w:eastAsia="宋体" w:cs="宋体"/>
          <w:color w:val="auto"/>
          <w:kern w:val="0"/>
          <w:sz w:val="32"/>
          <w:szCs w:val="32"/>
          <w:highlight w:val="none"/>
          <w:lang w:val="zh-CN"/>
        </w:rPr>
        <w:t>附件2</w:t>
      </w:r>
    </w:p>
    <w:p w14:paraId="50B3FF9F">
      <w:pPr>
        <w:spacing w:line="460" w:lineRule="exact"/>
        <w:jc w:val="center"/>
        <w:rPr>
          <w:rFonts w:hint="eastAsia" w:ascii="宋体" w:hAnsi="宋体" w:eastAsia="宋体" w:cs="宋体"/>
          <w:b/>
          <w:bCs/>
          <w:color w:val="auto"/>
          <w:sz w:val="32"/>
          <w:szCs w:val="32"/>
          <w:highlight w:val="none"/>
        </w:rPr>
      </w:pPr>
    </w:p>
    <w:p w14:paraId="1F9D707D">
      <w:pPr>
        <w:spacing w:line="460" w:lineRule="exact"/>
        <w:jc w:val="center"/>
        <w:rPr>
          <w:rFonts w:hint="eastAsia" w:ascii="宋体" w:hAnsi="宋体" w:eastAsia="宋体" w:cs="宋体"/>
          <w:b/>
          <w:bCs/>
          <w:color w:val="auto"/>
          <w:sz w:val="32"/>
          <w:szCs w:val="32"/>
          <w:highlight w:val="none"/>
        </w:rPr>
      </w:pPr>
    </w:p>
    <w:p w14:paraId="04155683">
      <w:pPr>
        <w:spacing w:line="460" w:lineRule="exact"/>
        <w:jc w:val="center"/>
        <w:rPr>
          <w:rFonts w:hint="eastAsia" w:ascii="宋体" w:hAnsi="宋体" w:eastAsia="宋体" w:cs="宋体"/>
          <w:b/>
          <w:bCs/>
          <w:color w:val="auto"/>
          <w:sz w:val="32"/>
          <w:szCs w:val="32"/>
          <w:highlight w:val="none"/>
        </w:rPr>
      </w:pPr>
    </w:p>
    <w:p w14:paraId="38BA5FCC">
      <w:pPr>
        <w:spacing w:line="460" w:lineRule="exact"/>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法定代表人身份证明</w:t>
      </w:r>
    </w:p>
    <w:p w14:paraId="1456792A">
      <w:pPr>
        <w:spacing w:line="460" w:lineRule="exact"/>
        <w:rPr>
          <w:rFonts w:hint="eastAsia" w:ascii="宋体" w:hAnsi="宋体" w:eastAsia="宋体" w:cs="宋体"/>
          <w:color w:val="auto"/>
          <w:sz w:val="24"/>
          <w:highlight w:val="none"/>
        </w:rPr>
      </w:pPr>
    </w:p>
    <w:p w14:paraId="38420F81">
      <w:pPr>
        <w:spacing w:line="46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先生/女士： 现任我单位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职务，为法定代表人，特此证明。</w:t>
      </w:r>
    </w:p>
    <w:p w14:paraId="3129785D">
      <w:pPr>
        <w:spacing w:line="460" w:lineRule="exact"/>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14:paraId="4F6A41CE">
      <w:pPr>
        <w:spacing w:line="460" w:lineRule="exact"/>
        <w:ind w:firstLine="480"/>
        <w:rPr>
          <w:rFonts w:hint="eastAsia" w:ascii="宋体" w:hAnsi="宋体" w:eastAsia="宋体" w:cs="宋体"/>
          <w:color w:val="auto"/>
          <w:sz w:val="24"/>
          <w:highlight w:val="none"/>
        </w:rPr>
      </w:pPr>
    </w:p>
    <w:p w14:paraId="2EB2A554">
      <w:pPr>
        <w:spacing w:line="460" w:lineRule="exac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注：提供法定代表人的身份证复印件盖公章</w:t>
      </w:r>
    </w:p>
    <w:p w14:paraId="4CA70236">
      <w:pPr>
        <w:spacing w:line="460" w:lineRule="exact"/>
        <w:ind w:firstLine="480" w:firstLineChars="200"/>
        <w:rPr>
          <w:rFonts w:hint="eastAsia" w:ascii="宋体" w:hAnsi="宋体" w:eastAsia="宋体" w:cs="宋体"/>
          <w:color w:val="auto"/>
          <w:sz w:val="24"/>
          <w:highlight w:val="none"/>
        </w:rPr>
      </w:pPr>
    </w:p>
    <w:p w14:paraId="3A98AA63">
      <w:pPr>
        <w:spacing w:line="460" w:lineRule="exact"/>
        <w:rPr>
          <w:rFonts w:hint="eastAsia" w:ascii="宋体" w:hAnsi="宋体" w:eastAsia="宋体" w:cs="宋体"/>
          <w:color w:val="auto"/>
          <w:highlight w:val="none"/>
        </w:rPr>
      </w:pPr>
    </w:p>
    <w:p w14:paraId="65994CAA">
      <w:pPr>
        <w:snapToGrid w:val="0"/>
        <w:spacing w:line="460" w:lineRule="exact"/>
        <w:ind w:firstLine="540" w:firstLineChars="192"/>
        <w:contextualSpacing/>
        <w:rPr>
          <w:rFonts w:hint="eastAsia" w:ascii="宋体" w:hAnsi="宋体" w:eastAsia="宋体" w:cs="宋体"/>
          <w:b/>
          <w:color w:val="auto"/>
          <w:kern w:val="0"/>
          <w:sz w:val="28"/>
          <w:szCs w:val="28"/>
          <w:highlight w:val="none"/>
        </w:rPr>
      </w:pPr>
    </w:p>
    <w:p w14:paraId="392BFA49">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6D83CB6F">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207DAE4C">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7B713C51">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7CF3AA72">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708744CD">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426C6ECE">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188BBEF1">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3F36E2AC">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1D5F4B00">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6E24963D">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17410DA5">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094AE0E9">
      <w:pPr>
        <w:pStyle w:val="19"/>
        <w:rPr>
          <w:rFonts w:hint="eastAsia" w:ascii="宋体" w:hAnsi="宋体" w:eastAsia="宋体" w:cs="宋体"/>
          <w:b/>
          <w:color w:val="auto"/>
          <w:szCs w:val="28"/>
          <w:highlight w:val="none"/>
          <w:lang w:val="zh-CN"/>
        </w:rPr>
      </w:pPr>
    </w:p>
    <w:p w14:paraId="1ADD845A">
      <w:pPr>
        <w:pStyle w:val="20"/>
        <w:rPr>
          <w:rFonts w:hint="eastAsia" w:ascii="宋体" w:hAnsi="宋体" w:eastAsia="宋体" w:cs="宋体"/>
          <w:color w:val="auto"/>
          <w:highlight w:val="none"/>
          <w:lang w:val="zh-CN"/>
        </w:rPr>
      </w:pPr>
    </w:p>
    <w:p w14:paraId="526F4B70">
      <w:pPr>
        <w:snapToGrid w:val="0"/>
        <w:spacing w:line="460" w:lineRule="exact"/>
        <w:ind w:firstLine="540" w:firstLineChars="192"/>
        <w:contextualSpacing/>
        <w:rPr>
          <w:rFonts w:hint="eastAsia" w:ascii="宋体" w:hAnsi="宋体" w:eastAsia="宋体" w:cs="宋体"/>
          <w:b/>
          <w:color w:val="auto"/>
          <w:kern w:val="0"/>
          <w:sz w:val="28"/>
          <w:szCs w:val="28"/>
          <w:highlight w:val="none"/>
          <w:lang w:val="zh-CN"/>
        </w:rPr>
      </w:pPr>
    </w:p>
    <w:p w14:paraId="0CFC9CF3">
      <w:pPr>
        <w:snapToGrid w:val="0"/>
        <w:spacing w:line="460" w:lineRule="exact"/>
        <w:contextualSpacing/>
        <w:rPr>
          <w:rFonts w:hint="eastAsia" w:ascii="宋体" w:hAnsi="宋体" w:eastAsia="宋体" w:cs="宋体"/>
          <w:b/>
          <w:color w:val="auto"/>
          <w:kern w:val="0"/>
          <w:sz w:val="28"/>
          <w:szCs w:val="28"/>
          <w:highlight w:val="none"/>
          <w:lang w:val="zh-CN"/>
        </w:rPr>
      </w:pPr>
    </w:p>
    <w:p w14:paraId="52E499CC">
      <w:pPr>
        <w:snapToGrid w:val="0"/>
        <w:spacing w:line="460" w:lineRule="exact"/>
        <w:contextualSpacing/>
        <w:rPr>
          <w:rFonts w:hint="eastAsia" w:ascii="宋体" w:hAnsi="宋体" w:eastAsia="宋体" w:cs="宋体"/>
          <w:color w:val="auto"/>
          <w:kern w:val="0"/>
          <w:sz w:val="32"/>
          <w:szCs w:val="32"/>
          <w:highlight w:val="none"/>
          <w:lang w:val="zh-CN"/>
        </w:rPr>
      </w:pPr>
    </w:p>
    <w:p w14:paraId="385D470A">
      <w:pPr>
        <w:snapToGrid w:val="0"/>
        <w:spacing w:line="460" w:lineRule="exact"/>
        <w:contextualSpacing/>
        <w:rPr>
          <w:rFonts w:hint="eastAsia" w:ascii="宋体" w:hAnsi="宋体" w:eastAsia="宋体" w:cs="宋体"/>
          <w:color w:val="auto"/>
          <w:kern w:val="0"/>
          <w:sz w:val="32"/>
          <w:szCs w:val="32"/>
          <w:highlight w:val="none"/>
          <w:lang w:val="zh-CN"/>
        </w:rPr>
      </w:pPr>
      <w:r>
        <w:rPr>
          <w:rFonts w:hint="eastAsia" w:ascii="宋体" w:hAnsi="宋体" w:eastAsia="宋体" w:cs="宋体"/>
          <w:color w:val="auto"/>
          <w:kern w:val="0"/>
          <w:sz w:val="32"/>
          <w:szCs w:val="32"/>
          <w:highlight w:val="none"/>
          <w:lang w:val="zh-CN"/>
        </w:rPr>
        <w:t>附件3</w:t>
      </w:r>
    </w:p>
    <w:p w14:paraId="013C7E3C">
      <w:pPr>
        <w:spacing w:line="460" w:lineRule="exact"/>
        <w:jc w:val="center"/>
        <w:rPr>
          <w:rFonts w:hint="eastAsia" w:ascii="宋体" w:hAnsi="宋体" w:eastAsia="宋体" w:cs="宋体"/>
          <w:color w:val="auto"/>
          <w:sz w:val="32"/>
          <w:szCs w:val="32"/>
          <w:highlight w:val="none"/>
        </w:rPr>
      </w:pPr>
    </w:p>
    <w:p w14:paraId="335A1A64">
      <w:pPr>
        <w:spacing w:line="460" w:lineRule="exact"/>
        <w:ind w:firstLine="560" w:firstLineChars="2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法定代表人授权委托书</w:t>
      </w:r>
    </w:p>
    <w:p w14:paraId="1668ECF3">
      <w:pPr>
        <w:spacing w:line="460" w:lineRule="exact"/>
        <w:ind w:firstLine="560" w:firstLineChars="200"/>
        <w:rPr>
          <w:rFonts w:hint="eastAsia" w:ascii="宋体" w:hAnsi="宋体" w:eastAsia="宋体" w:cs="宋体"/>
          <w:color w:val="auto"/>
          <w:sz w:val="28"/>
          <w:szCs w:val="28"/>
          <w:highlight w:val="none"/>
        </w:rPr>
      </w:pPr>
    </w:p>
    <w:p w14:paraId="5A6F5FB1">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人------（姓名）系————（授权单位名称）的法定代表人，现委托-------（姓名）（身份证号——————）为我方代理人，以我方名义全权处理与本次采购项目（编号：----------）有关的一切事务，其法律后果由我方承担。</w:t>
      </w:r>
    </w:p>
    <w:p w14:paraId="05781241">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本授权书于---年---月---日起生效。代理人无转委托权。</w:t>
      </w:r>
    </w:p>
    <w:p w14:paraId="284795B8">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代理人(被授权人):------</w:t>
      </w:r>
    </w:p>
    <w:p w14:paraId="4F7FA5DE">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授权单位名称（盖章）：-----</w:t>
      </w:r>
    </w:p>
    <w:p w14:paraId="68CE0564">
      <w:pPr>
        <w:spacing w:line="4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授权单位法定代表人（签字或盖章）：-----</w:t>
      </w:r>
    </w:p>
    <w:p w14:paraId="09394353">
      <w:pPr>
        <w:spacing w:line="460" w:lineRule="exact"/>
        <w:ind w:firstLine="560" w:firstLineChars="200"/>
        <w:jc w:val="right"/>
        <w:rPr>
          <w:rFonts w:hint="eastAsia" w:ascii="宋体" w:hAnsi="宋体" w:eastAsia="宋体" w:cs="宋体"/>
          <w:color w:val="auto"/>
          <w:sz w:val="28"/>
          <w:szCs w:val="28"/>
          <w:highlight w:val="none"/>
        </w:rPr>
      </w:pPr>
    </w:p>
    <w:p w14:paraId="273961DB">
      <w:pPr>
        <w:spacing w:line="460" w:lineRule="exact"/>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XXXX年XX月XX日</w:t>
      </w:r>
    </w:p>
    <w:p w14:paraId="3A847A2B">
      <w:pPr>
        <w:snapToGrid w:val="0"/>
        <w:spacing w:line="460" w:lineRule="exact"/>
        <w:ind w:firstLine="562" w:firstLineChars="200"/>
        <w:contextualSpacing/>
        <w:rPr>
          <w:rFonts w:hint="eastAsia" w:ascii="宋体" w:hAnsi="宋体" w:eastAsia="宋体" w:cs="宋体"/>
          <w:b/>
          <w:color w:val="auto"/>
          <w:kern w:val="0"/>
          <w:sz w:val="28"/>
          <w:szCs w:val="28"/>
          <w:highlight w:val="none"/>
        </w:rPr>
      </w:pPr>
    </w:p>
    <w:p w14:paraId="7CF6026E">
      <w:pPr>
        <w:snapToGrid w:val="0"/>
        <w:spacing w:line="460" w:lineRule="exact"/>
        <w:ind w:firstLine="562" w:firstLineChars="200"/>
        <w:contextualSpacing/>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注：提供投标代表本人身份证复印件盖公章</w:t>
      </w:r>
    </w:p>
    <w:p w14:paraId="4BA0AE32">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0319BF9A">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694647F8">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21ADB1A3">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4D23F414">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7602564F">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3D1160C8">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56648147">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53935F7E">
      <w:pPr>
        <w:snapToGrid w:val="0"/>
        <w:spacing w:line="400" w:lineRule="exact"/>
        <w:ind w:firstLine="540" w:firstLineChars="192"/>
        <w:contextualSpacing/>
        <w:rPr>
          <w:rFonts w:hint="eastAsia" w:ascii="宋体" w:hAnsi="宋体" w:eastAsia="宋体" w:cs="宋体"/>
          <w:b/>
          <w:color w:val="auto"/>
          <w:kern w:val="0"/>
          <w:sz w:val="28"/>
          <w:szCs w:val="28"/>
          <w:highlight w:val="none"/>
        </w:rPr>
      </w:pPr>
    </w:p>
    <w:p w14:paraId="3AE7BF1D">
      <w:pPr>
        <w:snapToGrid w:val="0"/>
        <w:spacing w:line="400" w:lineRule="exact"/>
        <w:contextualSpacing/>
        <w:rPr>
          <w:rFonts w:hint="eastAsia" w:ascii="宋体" w:hAnsi="宋体" w:eastAsia="宋体" w:cs="宋体"/>
          <w:color w:val="auto"/>
          <w:kern w:val="0"/>
          <w:sz w:val="32"/>
          <w:szCs w:val="32"/>
          <w:highlight w:val="none"/>
          <w:lang w:eastAsia="zh-CN"/>
        </w:rPr>
      </w:pPr>
      <w:r>
        <w:rPr>
          <w:rFonts w:hint="eastAsia" w:ascii="宋体" w:hAnsi="宋体" w:eastAsia="宋体" w:cs="宋体"/>
          <w:b/>
          <w:color w:val="auto"/>
          <w:sz w:val="32"/>
          <w:szCs w:val="32"/>
          <w:highlight w:val="none"/>
          <w:lang w:bidi="ar"/>
        </w:rPr>
        <w:br w:type="page"/>
      </w:r>
      <w:r>
        <w:rPr>
          <w:rFonts w:hint="eastAsia" w:ascii="宋体" w:hAnsi="宋体" w:eastAsia="宋体" w:cs="宋体"/>
          <w:color w:val="auto"/>
          <w:kern w:val="0"/>
          <w:sz w:val="32"/>
          <w:szCs w:val="32"/>
          <w:highlight w:val="none"/>
        </w:rPr>
        <w:t>附件</w:t>
      </w:r>
      <w:r>
        <w:rPr>
          <w:rFonts w:hint="eastAsia" w:ascii="宋体" w:hAnsi="宋体" w:eastAsia="宋体" w:cs="宋体"/>
          <w:color w:val="auto"/>
          <w:kern w:val="0"/>
          <w:sz w:val="32"/>
          <w:szCs w:val="32"/>
          <w:highlight w:val="none"/>
          <w:lang w:val="en-US" w:eastAsia="zh-CN"/>
        </w:rPr>
        <w:t>4</w:t>
      </w:r>
    </w:p>
    <w:p w14:paraId="26A57252">
      <w:pPr>
        <w:widowControl/>
        <w:spacing w:before="100" w:beforeAutospacing="1" w:after="100" w:afterAutospacing="1" w:line="360" w:lineRule="auto"/>
        <w:jc w:val="center"/>
        <w:rPr>
          <w:rFonts w:hint="eastAsia" w:ascii="宋体" w:hAnsi="宋体" w:eastAsia="宋体" w:cs="宋体"/>
          <w:color w:val="auto"/>
          <w:kern w:val="0"/>
          <w:sz w:val="32"/>
          <w:szCs w:val="32"/>
          <w:highlight w:val="none"/>
        </w:rPr>
      </w:pPr>
      <w:r>
        <w:rPr>
          <w:rFonts w:hint="eastAsia" w:ascii="宋体" w:hAnsi="宋体" w:eastAsia="宋体" w:cs="宋体"/>
          <w:b/>
          <w:bCs/>
          <w:color w:val="auto"/>
          <w:kern w:val="0"/>
          <w:sz w:val="32"/>
          <w:szCs w:val="32"/>
          <w:highlight w:val="none"/>
        </w:rPr>
        <w:t>报价总表</w:t>
      </w:r>
    </w:p>
    <w:p w14:paraId="4A535AE4">
      <w:pPr>
        <w:spacing w:line="360" w:lineRule="auto"/>
        <w:rPr>
          <w:rFonts w:hint="eastAsia" w:ascii="宋体" w:hAnsi="宋体" w:eastAsia="宋体" w:cs="宋体"/>
          <w:color w:val="auto"/>
          <w:kern w:val="0"/>
          <w:sz w:val="28"/>
          <w:szCs w:val="28"/>
          <w:highlight w:val="none"/>
          <w:u w:val="single"/>
        </w:rPr>
      </w:pPr>
      <w:r>
        <w:rPr>
          <w:rFonts w:hint="eastAsia" w:ascii="宋体" w:hAnsi="宋体" w:cs="宋体"/>
          <w:color w:val="auto"/>
          <w:kern w:val="0"/>
          <w:sz w:val="28"/>
          <w:szCs w:val="28"/>
          <w:highlight w:val="none"/>
          <w:lang w:val="en-US" w:eastAsia="zh-CN"/>
        </w:rPr>
        <w:t>投标人</w:t>
      </w:r>
      <w:r>
        <w:rPr>
          <w:rFonts w:hint="eastAsia" w:ascii="宋体" w:hAnsi="宋体" w:eastAsia="宋体" w:cs="宋体"/>
          <w:color w:val="auto"/>
          <w:kern w:val="0"/>
          <w:sz w:val="28"/>
          <w:szCs w:val="28"/>
          <w:highlight w:val="none"/>
        </w:rPr>
        <w:t>全称（加盖公章）：</w:t>
      </w:r>
    </w:p>
    <w:p w14:paraId="5037F365">
      <w:pPr>
        <w:spacing w:line="360" w:lineRule="auto"/>
        <w:rPr>
          <w:rFonts w:hint="eastAsia" w:ascii="宋体" w:hAnsi="宋体" w:eastAsia="宋体" w:cs="宋体"/>
          <w:color w:val="auto"/>
          <w:kern w:val="0"/>
          <w:sz w:val="28"/>
          <w:szCs w:val="28"/>
          <w:highlight w:val="none"/>
          <w:u w:val="single"/>
        </w:rPr>
      </w:pPr>
      <w:r>
        <w:rPr>
          <w:rFonts w:hint="eastAsia" w:ascii="宋体" w:hAnsi="宋体" w:eastAsia="宋体" w:cs="宋体"/>
          <w:color w:val="auto"/>
          <w:kern w:val="0"/>
          <w:sz w:val="28"/>
          <w:szCs w:val="28"/>
          <w:highlight w:val="none"/>
        </w:rPr>
        <w:t>项目名称：</w:t>
      </w:r>
    </w:p>
    <w:p w14:paraId="224A68E9">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项目编号：</w:t>
      </w:r>
    </w:p>
    <w:p w14:paraId="26DAF762">
      <w:pPr>
        <w:spacing w:line="360" w:lineRule="auto"/>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分包号：</w:t>
      </w:r>
    </w:p>
    <w:tbl>
      <w:tblPr>
        <w:tblStyle w:val="36"/>
        <w:tblW w:w="520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59"/>
        <w:gridCol w:w="3062"/>
        <w:gridCol w:w="3062"/>
      </w:tblGrid>
      <w:tr w14:paraId="118FB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552" w:type="pct"/>
            <w:noWrap w:val="0"/>
            <w:vAlign w:val="top"/>
          </w:tcPr>
          <w:p w14:paraId="5EBE5E0E">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磋商货物、服务名称</w:t>
            </w:r>
          </w:p>
        </w:tc>
        <w:tc>
          <w:tcPr>
            <w:tcW w:w="1723" w:type="pct"/>
            <w:noWrap w:val="0"/>
            <w:vAlign w:val="top"/>
          </w:tcPr>
          <w:p w14:paraId="28982C48">
            <w:pPr>
              <w:spacing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磋商总报价</w:t>
            </w:r>
          </w:p>
        </w:tc>
        <w:tc>
          <w:tcPr>
            <w:tcW w:w="1723" w:type="pct"/>
            <w:noWrap w:val="0"/>
            <w:vAlign w:val="top"/>
          </w:tcPr>
          <w:p w14:paraId="565B1112">
            <w:pPr>
              <w:spacing w:line="360" w:lineRule="auto"/>
              <w:jc w:val="center"/>
              <w:rPr>
                <w:rFonts w:hint="eastAsia" w:ascii="宋体" w:hAnsi="宋体" w:eastAsia="宋体" w:cs="宋体"/>
                <w:color w:val="auto"/>
                <w:kern w:val="0"/>
                <w:sz w:val="24"/>
                <w:szCs w:val="24"/>
                <w:highlight w:val="none"/>
              </w:rPr>
            </w:pPr>
            <w:r>
              <w:rPr>
                <w:rFonts w:hint="eastAsia" w:ascii="宋体" w:hAnsi="宋体" w:eastAsia="宋体" w:cs="宋体"/>
                <w:b/>
                <w:color w:val="auto"/>
                <w:sz w:val="24"/>
                <w:szCs w:val="24"/>
                <w:highlight w:val="none"/>
              </w:rPr>
              <w:t>服务期</w:t>
            </w:r>
          </w:p>
        </w:tc>
      </w:tr>
      <w:tr w14:paraId="4778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552" w:type="pct"/>
            <w:noWrap w:val="0"/>
            <w:vAlign w:val="top"/>
          </w:tcPr>
          <w:p w14:paraId="288A4FDB">
            <w:pPr>
              <w:spacing w:line="360" w:lineRule="auto"/>
              <w:jc w:val="left"/>
              <w:rPr>
                <w:rFonts w:hint="eastAsia" w:ascii="宋体" w:hAnsi="宋体" w:eastAsia="宋体" w:cs="宋体"/>
                <w:color w:val="auto"/>
                <w:sz w:val="24"/>
                <w:szCs w:val="24"/>
                <w:highlight w:val="none"/>
                <w:lang w:eastAsia="zh-CN"/>
              </w:rPr>
            </w:pPr>
          </w:p>
        </w:tc>
        <w:tc>
          <w:tcPr>
            <w:tcW w:w="1723" w:type="pct"/>
            <w:noWrap w:val="0"/>
            <w:vAlign w:val="center"/>
          </w:tcPr>
          <w:p w14:paraId="25BCE8BC">
            <w:pPr>
              <w:spacing w:line="360" w:lineRule="auto"/>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大写：</w:t>
            </w:r>
            <w:r>
              <w:rPr>
                <w:rFonts w:hint="eastAsia" w:ascii="宋体" w:hAnsi="宋体" w:eastAsia="宋体" w:cs="宋体"/>
                <w:color w:val="auto"/>
                <w:kern w:val="0"/>
                <w:sz w:val="24"/>
                <w:szCs w:val="24"/>
                <w:highlight w:val="none"/>
                <w:lang w:val="en-US" w:eastAsia="zh-CN"/>
              </w:rPr>
              <w:t>每年人民币</w:t>
            </w:r>
          </w:p>
          <w:p w14:paraId="18DE48D1">
            <w:pPr>
              <w:spacing w:line="360" w:lineRule="auto"/>
              <w:jc w:val="both"/>
              <w:rPr>
                <w:rFonts w:hint="eastAsia" w:ascii="宋体" w:hAnsi="宋体" w:eastAsia="宋体" w:cs="宋体"/>
                <w:color w:val="auto"/>
                <w:sz w:val="24"/>
                <w:szCs w:val="24"/>
                <w:highlight w:val="none"/>
                <w:u w:val="single"/>
              </w:rPr>
            </w:pPr>
            <w:r>
              <w:rPr>
                <w:rFonts w:hint="eastAsia" w:ascii="宋体" w:hAnsi="宋体" w:eastAsia="宋体" w:cs="宋体"/>
                <w:color w:val="auto"/>
                <w:kern w:val="0"/>
                <w:sz w:val="24"/>
                <w:szCs w:val="24"/>
                <w:highlight w:val="none"/>
              </w:rPr>
              <w:t>小写：     元</w:t>
            </w:r>
            <w:r>
              <w:rPr>
                <w:rFonts w:hint="eastAsia" w:ascii="宋体" w:hAnsi="宋体" w:eastAsia="宋体" w:cs="宋体"/>
                <w:color w:val="auto"/>
                <w:kern w:val="0"/>
                <w:sz w:val="24"/>
                <w:szCs w:val="24"/>
                <w:highlight w:val="none"/>
                <w:lang w:val="en-US" w:eastAsia="zh-CN"/>
              </w:rPr>
              <w:t>/年</w:t>
            </w:r>
            <w:r>
              <w:rPr>
                <w:rFonts w:hint="eastAsia" w:ascii="宋体" w:hAnsi="宋体" w:eastAsia="宋体" w:cs="宋体"/>
                <w:color w:val="auto"/>
                <w:kern w:val="0"/>
                <w:sz w:val="24"/>
                <w:szCs w:val="24"/>
                <w:highlight w:val="none"/>
              </w:rPr>
              <w:t>（人民币）</w:t>
            </w:r>
          </w:p>
        </w:tc>
        <w:tc>
          <w:tcPr>
            <w:tcW w:w="1723" w:type="pct"/>
            <w:noWrap w:val="0"/>
            <w:vAlign w:val="center"/>
          </w:tcPr>
          <w:p w14:paraId="55BB1C38">
            <w:pPr>
              <w:spacing w:line="360" w:lineRule="auto"/>
              <w:jc w:val="both"/>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年。一年消防维保服务结束后，在</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承诺不增加服务费且当年消防维保服务后评价合格、同时满足相关法律法规的前提下，可续签次年服务合同，续签不超过两次。</w:t>
            </w:r>
          </w:p>
        </w:tc>
      </w:tr>
    </w:tbl>
    <w:p w14:paraId="64F078AE">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14:paraId="4ED7B867">
      <w:pPr>
        <w:spacing w:line="360" w:lineRule="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填写说明：</w:t>
      </w:r>
    </w:p>
    <w:p w14:paraId="6B06F234">
      <w:pPr>
        <w:tabs>
          <w:tab w:val="left" w:pos="340"/>
        </w:tabs>
        <w:kinsoku w:val="0"/>
        <w:topLinePunct/>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（1）本表为格式表，不得自行改动，必须提供。</w:t>
      </w:r>
    </w:p>
    <w:p w14:paraId="5AD9FC2A">
      <w:pPr>
        <w:tabs>
          <w:tab w:val="left" w:pos="340"/>
        </w:tabs>
        <w:kinsoku w:val="0"/>
        <w:topLinePunct/>
        <w:snapToGrid w:val="0"/>
        <w:spacing w:line="360" w:lineRule="auto"/>
        <w:ind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b/>
          <w:bCs/>
          <w:color w:val="auto"/>
          <w:sz w:val="24"/>
          <w:szCs w:val="24"/>
          <w:highlight w:val="none"/>
        </w:rPr>
        <w:t>本项目报价为固定价格报价，</w:t>
      </w:r>
      <w:r>
        <w:rPr>
          <w:rFonts w:hint="eastAsia" w:ascii="宋体" w:hAnsi="宋体" w:cs="宋体"/>
          <w:b/>
          <w:bCs/>
          <w:color w:val="auto"/>
          <w:sz w:val="24"/>
          <w:szCs w:val="24"/>
          <w:highlight w:val="none"/>
          <w:lang w:val="en-US" w:eastAsia="zh-CN"/>
        </w:rPr>
        <w:t>投标人</w:t>
      </w:r>
      <w:r>
        <w:rPr>
          <w:rFonts w:hint="eastAsia" w:ascii="宋体" w:hAnsi="宋体" w:eastAsia="宋体" w:cs="宋体"/>
          <w:b/>
          <w:bCs/>
          <w:color w:val="auto"/>
          <w:sz w:val="24"/>
          <w:szCs w:val="24"/>
          <w:highlight w:val="none"/>
        </w:rPr>
        <w:t>应充分考虑服务实施期间各类市场价格和政策性价格调整因素，确定价格风险计入总报价，今后不作调整。响应报价应包括完成本项目所需的一切费用，不限于人工费、维保费、专业设备费、差旅费、食宿费、编制报告费、劳务费、检测费、税费等完成项目所需的全部费用。同时，报价也应包含合同履行过程中可能发生的一切风险。</w:t>
      </w:r>
    </w:p>
    <w:p w14:paraId="61780199">
      <w:pPr>
        <w:spacing w:line="460" w:lineRule="exact"/>
        <w:rPr>
          <w:rFonts w:hint="eastAsia" w:ascii="宋体" w:hAnsi="宋体" w:eastAsia="宋体" w:cs="宋体"/>
          <w:color w:val="auto"/>
          <w:kern w:val="0"/>
          <w:sz w:val="28"/>
          <w:szCs w:val="28"/>
          <w:highlight w:val="none"/>
        </w:rPr>
      </w:pPr>
      <w:r>
        <w:rPr>
          <w:rFonts w:hint="eastAsia" w:ascii="宋体" w:hAnsi="宋体" w:eastAsia="宋体" w:cs="宋体"/>
          <w:color w:val="auto"/>
          <w:sz w:val="24"/>
          <w:szCs w:val="24"/>
          <w:highlight w:val="none"/>
        </w:rPr>
        <w:t>（3）投标报价在合同执行期间是固定不变和不可变更的，不因市场变化因素而变动，</w:t>
      </w:r>
      <w:r>
        <w:rPr>
          <w:rFonts w:hint="eastAsia" w:ascii="宋体" w:hAnsi="宋体" w:cs="宋体"/>
          <w:color w:val="auto"/>
          <w:sz w:val="24"/>
          <w:szCs w:val="24"/>
          <w:highlight w:val="none"/>
          <w:lang w:val="en-US" w:eastAsia="zh-CN"/>
        </w:rPr>
        <w:t>投标人</w:t>
      </w:r>
      <w:r>
        <w:rPr>
          <w:rFonts w:hint="eastAsia" w:ascii="宋体" w:hAnsi="宋体" w:eastAsia="宋体" w:cs="宋体"/>
          <w:color w:val="auto"/>
          <w:sz w:val="24"/>
          <w:szCs w:val="24"/>
          <w:highlight w:val="none"/>
        </w:rPr>
        <w:t>在计算报价时应考虑风险因素。</w:t>
      </w:r>
    </w:p>
    <w:p w14:paraId="60E8CBE6">
      <w:pPr>
        <w:spacing w:line="460" w:lineRule="exact"/>
        <w:rPr>
          <w:rFonts w:hint="eastAsia" w:ascii="宋体" w:hAnsi="宋体" w:eastAsia="宋体" w:cs="宋体"/>
          <w:color w:val="auto"/>
          <w:kern w:val="0"/>
          <w:sz w:val="28"/>
          <w:szCs w:val="28"/>
          <w:highlight w:val="none"/>
        </w:rPr>
        <w:sectPr>
          <w:headerReference r:id="rId5" w:type="first"/>
          <w:headerReference r:id="rId3" w:type="default"/>
          <w:footerReference r:id="rId6" w:type="default"/>
          <w:headerReference r:id="rId4" w:type="even"/>
          <w:pgSz w:w="11906" w:h="16838"/>
          <w:pgMar w:top="1440" w:right="1797" w:bottom="1440" w:left="1797" w:header="851" w:footer="992" w:gutter="0"/>
          <w:cols w:space="720" w:num="1"/>
          <w:docGrid w:type="lines" w:linePitch="312" w:charSpace="0"/>
        </w:sectPr>
      </w:pPr>
    </w:p>
    <w:p w14:paraId="5CB5A6B7">
      <w:pPr>
        <w:snapToGrid w:val="0"/>
        <w:spacing w:line="360" w:lineRule="auto"/>
        <w:jc w:val="both"/>
        <w:outlineLvl w:val="9"/>
        <w:rPr>
          <w:rFonts w:hint="eastAsia" w:ascii="宋体" w:hAnsi="宋体" w:eastAsia="宋体" w:cs="宋体"/>
          <w:color w:val="auto"/>
          <w:kern w:val="0"/>
          <w:sz w:val="32"/>
          <w:szCs w:val="32"/>
          <w:highlight w:val="none"/>
          <w:lang w:val="en-US" w:eastAsia="zh-CN"/>
        </w:rPr>
      </w:pPr>
      <w:r>
        <w:rPr>
          <w:rFonts w:hint="eastAsia" w:ascii="宋体" w:hAnsi="宋体" w:eastAsia="宋体" w:cs="宋体"/>
          <w:color w:val="auto"/>
          <w:kern w:val="0"/>
          <w:sz w:val="32"/>
          <w:szCs w:val="32"/>
          <w:highlight w:val="none"/>
        </w:rPr>
        <w:t>附件</w:t>
      </w:r>
      <w:r>
        <w:rPr>
          <w:rFonts w:hint="eastAsia" w:ascii="宋体" w:hAnsi="宋体" w:eastAsia="宋体" w:cs="宋体"/>
          <w:color w:val="auto"/>
          <w:kern w:val="0"/>
          <w:sz w:val="32"/>
          <w:szCs w:val="32"/>
          <w:highlight w:val="none"/>
          <w:lang w:val="en-US" w:eastAsia="zh-CN"/>
        </w:rPr>
        <w:t>5</w:t>
      </w:r>
    </w:p>
    <w:p w14:paraId="3B330BA5">
      <w:pPr>
        <w:snapToGrid w:val="0"/>
        <w:spacing w:line="360" w:lineRule="auto"/>
        <w:jc w:val="center"/>
        <w:outlineLvl w:val="9"/>
        <w:rPr>
          <w:rFonts w:hint="eastAsia" w:ascii="宋体" w:hAnsi="宋体" w:eastAsia="宋体" w:cs="宋体"/>
          <w:color w:val="auto"/>
          <w:kern w:val="0"/>
          <w:sz w:val="28"/>
          <w:szCs w:val="28"/>
          <w:highlight w:val="none"/>
          <w:lang w:val="en-US" w:eastAsia="zh-CN"/>
        </w:rPr>
      </w:pPr>
      <w:r>
        <w:rPr>
          <w:rFonts w:hint="eastAsia" w:ascii="宋体" w:hAnsi="宋体" w:eastAsia="宋体" w:cs="宋体"/>
          <w:color w:val="auto"/>
          <w:kern w:val="0"/>
          <w:sz w:val="28"/>
          <w:szCs w:val="28"/>
          <w:highlight w:val="none"/>
          <w:lang w:val="en-US" w:eastAsia="zh-CN"/>
        </w:rPr>
        <w:t>分项报价明细表</w:t>
      </w:r>
    </w:p>
    <w:tbl>
      <w:tblPr>
        <w:tblStyle w:val="3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1321"/>
        <w:gridCol w:w="1417"/>
        <w:gridCol w:w="1418"/>
        <w:gridCol w:w="1275"/>
        <w:gridCol w:w="1276"/>
        <w:gridCol w:w="851"/>
        <w:gridCol w:w="1151"/>
      </w:tblGrid>
      <w:tr w14:paraId="7AFD6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971" w:type="dxa"/>
            <w:noWrap w:val="0"/>
            <w:vAlign w:val="center"/>
          </w:tcPr>
          <w:p w14:paraId="378E922F">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321" w:type="dxa"/>
            <w:noWrap w:val="0"/>
            <w:vAlign w:val="center"/>
          </w:tcPr>
          <w:p w14:paraId="2906A5DA">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名称</w:t>
            </w:r>
          </w:p>
        </w:tc>
        <w:tc>
          <w:tcPr>
            <w:tcW w:w="1417" w:type="dxa"/>
            <w:noWrap w:val="0"/>
            <w:vAlign w:val="center"/>
          </w:tcPr>
          <w:p w14:paraId="1BEBFA1D">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服务范围</w:t>
            </w:r>
          </w:p>
        </w:tc>
        <w:tc>
          <w:tcPr>
            <w:tcW w:w="1418" w:type="dxa"/>
            <w:noWrap w:val="0"/>
            <w:vAlign w:val="center"/>
          </w:tcPr>
          <w:p w14:paraId="7BE233BF">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服务要求</w:t>
            </w:r>
          </w:p>
        </w:tc>
        <w:tc>
          <w:tcPr>
            <w:tcW w:w="1275" w:type="dxa"/>
            <w:noWrap w:val="0"/>
            <w:vAlign w:val="center"/>
          </w:tcPr>
          <w:p w14:paraId="3697D467">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服务时间</w:t>
            </w:r>
          </w:p>
        </w:tc>
        <w:tc>
          <w:tcPr>
            <w:tcW w:w="1276" w:type="dxa"/>
            <w:noWrap w:val="0"/>
            <w:vAlign w:val="center"/>
          </w:tcPr>
          <w:p w14:paraId="7E487766">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服务标准</w:t>
            </w:r>
          </w:p>
        </w:tc>
        <w:tc>
          <w:tcPr>
            <w:tcW w:w="851" w:type="dxa"/>
            <w:noWrap w:val="0"/>
            <w:vAlign w:val="center"/>
          </w:tcPr>
          <w:p w14:paraId="5EA8F5E3">
            <w:pPr>
              <w:snapToGrid w:val="0"/>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金额</w:t>
            </w:r>
          </w:p>
        </w:tc>
        <w:tc>
          <w:tcPr>
            <w:tcW w:w="1151" w:type="dxa"/>
            <w:noWrap w:val="0"/>
            <w:vAlign w:val="center"/>
          </w:tcPr>
          <w:p w14:paraId="687A06E1">
            <w:pPr>
              <w:snapToGrid w:val="0"/>
              <w:spacing w:line="360" w:lineRule="auto"/>
              <w:ind w:firstLine="105" w:firstLineChars="5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6E38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971" w:type="dxa"/>
            <w:noWrap w:val="0"/>
            <w:vAlign w:val="center"/>
          </w:tcPr>
          <w:p w14:paraId="281F9DB6">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21" w:type="dxa"/>
            <w:noWrap w:val="0"/>
            <w:vAlign w:val="center"/>
          </w:tcPr>
          <w:p w14:paraId="174A478A">
            <w:pPr>
              <w:snapToGrid w:val="0"/>
              <w:spacing w:line="360" w:lineRule="auto"/>
              <w:jc w:val="center"/>
              <w:rPr>
                <w:rFonts w:hint="eastAsia" w:ascii="宋体" w:hAnsi="宋体" w:eastAsia="宋体" w:cs="宋体"/>
                <w:color w:val="auto"/>
                <w:sz w:val="24"/>
                <w:highlight w:val="none"/>
              </w:rPr>
            </w:pPr>
          </w:p>
        </w:tc>
        <w:tc>
          <w:tcPr>
            <w:tcW w:w="1417" w:type="dxa"/>
            <w:noWrap w:val="0"/>
            <w:vAlign w:val="center"/>
          </w:tcPr>
          <w:p w14:paraId="162E33B7">
            <w:pPr>
              <w:snapToGrid w:val="0"/>
              <w:spacing w:line="360" w:lineRule="auto"/>
              <w:jc w:val="center"/>
              <w:rPr>
                <w:rFonts w:hint="eastAsia" w:ascii="宋体" w:hAnsi="宋体" w:eastAsia="宋体" w:cs="宋体"/>
                <w:color w:val="auto"/>
                <w:sz w:val="24"/>
                <w:highlight w:val="none"/>
              </w:rPr>
            </w:pPr>
          </w:p>
        </w:tc>
        <w:tc>
          <w:tcPr>
            <w:tcW w:w="1418" w:type="dxa"/>
            <w:noWrap w:val="0"/>
            <w:vAlign w:val="center"/>
          </w:tcPr>
          <w:p w14:paraId="5BF8BB99">
            <w:pPr>
              <w:snapToGrid w:val="0"/>
              <w:spacing w:line="360" w:lineRule="auto"/>
              <w:jc w:val="center"/>
              <w:rPr>
                <w:rFonts w:hint="eastAsia" w:ascii="宋体" w:hAnsi="宋体" w:eastAsia="宋体" w:cs="宋体"/>
                <w:color w:val="auto"/>
                <w:sz w:val="24"/>
                <w:highlight w:val="none"/>
              </w:rPr>
            </w:pPr>
          </w:p>
        </w:tc>
        <w:tc>
          <w:tcPr>
            <w:tcW w:w="1275" w:type="dxa"/>
            <w:noWrap w:val="0"/>
            <w:vAlign w:val="center"/>
          </w:tcPr>
          <w:p w14:paraId="315765C9">
            <w:pPr>
              <w:snapToGrid w:val="0"/>
              <w:spacing w:line="360" w:lineRule="auto"/>
              <w:jc w:val="center"/>
              <w:rPr>
                <w:rFonts w:hint="eastAsia" w:ascii="宋体" w:hAnsi="宋体" w:eastAsia="宋体" w:cs="宋体"/>
                <w:color w:val="auto"/>
                <w:sz w:val="24"/>
                <w:highlight w:val="none"/>
              </w:rPr>
            </w:pPr>
          </w:p>
        </w:tc>
        <w:tc>
          <w:tcPr>
            <w:tcW w:w="1276" w:type="dxa"/>
            <w:noWrap w:val="0"/>
            <w:vAlign w:val="center"/>
          </w:tcPr>
          <w:p w14:paraId="7EAB39D7">
            <w:pPr>
              <w:snapToGrid w:val="0"/>
              <w:spacing w:line="360" w:lineRule="auto"/>
              <w:jc w:val="center"/>
              <w:rPr>
                <w:rFonts w:hint="eastAsia" w:ascii="宋体" w:hAnsi="宋体" w:eastAsia="宋体" w:cs="宋体"/>
                <w:color w:val="auto"/>
                <w:sz w:val="24"/>
                <w:highlight w:val="none"/>
              </w:rPr>
            </w:pPr>
          </w:p>
        </w:tc>
        <w:tc>
          <w:tcPr>
            <w:tcW w:w="851" w:type="dxa"/>
            <w:noWrap w:val="0"/>
            <w:vAlign w:val="center"/>
          </w:tcPr>
          <w:p w14:paraId="2B9A0E41">
            <w:pPr>
              <w:snapToGrid w:val="0"/>
              <w:spacing w:line="360" w:lineRule="auto"/>
              <w:jc w:val="center"/>
              <w:rPr>
                <w:rFonts w:hint="eastAsia" w:ascii="宋体" w:hAnsi="宋体" w:eastAsia="宋体" w:cs="宋体"/>
                <w:color w:val="auto"/>
                <w:sz w:val="24"/>
                <w:highlight w:val="none"/>
              </w:rPr>
            </w:pPr>
          </w:p>
        </w:tc>
        <w:tc>
          <w:tcPr>
            <w:tcW w:w="1151" w:type="dxa"/>
            <w:noWrap w:val="0"/>
            <w:vAlign w:val="center"/>
          </w:tcPr>
          <w:p w14:paraId="51858BBF">
            <w:pPr>
              <w:snapToGrid w:val="0"/>
              <w:spacing w:line="360" w:lineRule="auto"/>
              <w:jc w:val="center"/>
              <w:rPr>
                <w:rFonts w:hint="eastAsia" w:ascii="宋体" w:hAnsi="宋体" w:eastAsia="宋体" w:cs="宋体"/>
                <w:color w:val="auto"/>
                <w:sz w:val="24"/>
                <w:highlight w:val="none"/>
              </w:rPr>
            </w:pPr>
          </w:p>
        </w:tc>
      </w:tr>
      <w:tr w14:paraId="77764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971" w:type="dxa"/>
            <w:noWrap w:val="0"/>
            <w:vAlign w:val="center"/>
          </w:tcPr>
          <w:p w14:paraId="76925CA4">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21" w:type="dxa"/>
            <w:noWrap w:val="0"/>
            <w:vAlign w:val="center"/>
          </w:tcPr>
          <w:p w14:paraId="00B8754D">
            <w:pPr>
              <w:snapToGrid w:val="0"/>
              <w:spacing w:line="360" w:lineRule="auto"/>
              <w:jc w:val="center"/>
              <w:rPr>
                <w:rFonts w:hint="eastAsia" w:ascii="宋体" w:hAnsi="宋体" w:eastAsia="宋体" w:cs="宋体"/>
                <w:color w:val="auto"/>
                <w:sz w:val="24"/>
                <w:highlight w:val="none"/>
              </w:rPr>
            </w:pPr>
          </w:p>
        </w:tc>
        <w:tc>
          <w:tcPr>
            <w:tcW w:w="1417" w:type="dxa"/>
            <w:noWrap w:val="0"/>
            <w:vAlign w:val="center"/>
          </w:tcPr>
          <w:p w14:paraId="2460CE53">
            <w:pPr>
              <w:snapToGrid w:val="0"/>
              <w:spacing w:line="360" w:lineRule="auto"/>
              <w:jc w:val="center"/>
              <w:rPr>
                <w:rFonts w:hint="eastAsia" w:ascii="宋体" w:hAnsi="宋体" w:eastAsia="宋体" w:cs="宋体"/>
                <w:color w:val="auto"/>
                <w:sz w:val="24"/>
                <w:highlight w:val="none"/>
              </w:rPr>
            </w:pPr>
          </w:p>
        </w:tc>
        <w:tc>
          <w:tcPr>
            <w:tcW w:w="1418" w:type="dxa"/>
            <w:noWrap w:val="0"/>
            <w:vAlign w:val="center"/>
          </w:tcPr>
          <w:p w14:paraId="7171E918">
            <w:pPr>
              <w:snapToGrid w:val="0"/>
              <w:spacing w:line="360" w:lineRule="auto"/>
              <w:jc w:val="center"/>
              <w:rPr>
                <w:rFonts w:hint="eastAsia" w:ascii="宋体" w:hAnsi="宋体" w:eastAsia="宋体" w:cs="宋体"/>
                <w:color w:val="auto"/>
                <w:sz w:val="24"/>
                <w:highlight w:val="none"/>
              </w:rPr>
            </w:pPr>
          </w:p>
        </w:tc>
        <w:tc>
          <w:tcPr>
            <w:tcW w:w="1275" w:type="dxa"/>
            <w:noWrap w:val="0"/>
            <w:vAlign w:val="center"/>
          </w:tcPr>
          <w:p w14:paraId="525709C7">
            <w:pPr>
              <w:snapToGrid w:val="0"/>
              <w:spacing w:line="360" w:lineRule="auto"/>
              <w:jc w:val="center"/>
              <w:rPr>
                <w:rFonts w:hint="eastAsia" w:ascii="宋体" w:hAnsi="宋体" w:eastAsia="宋体" w:cs="宋体"/>
                <w:color w:val="auto"/>
                <w:sz w:val="24"/>
                <w:highlight w:val="none"/>
              </w:rPr>
            </w:pPr>
          </w:p>
        </w:tc>
        <w:tc>
          <w:tcPr>
            <w:tcW w:w="1276" w:type="dxa"/>
            <w:noWrap w:val="0"/>
            <w:vAlign w:val="center"/>
          </w:tcPr>
          <w:p w14:paraId="432C9320">
            <w:pPr>
              <w:snapToGrid w:val="0"/>
              <w:spacing w:line="360" w:lineRule="auto"/>
              <w:jc w:val="center"/>
              <w:rPr>
                <w:rFonts w:hint="eastAsia" w:ascii="宋体" w:hAnsi="宋体" w:eastAsia="宋体" w:cs="宋体"/>
                <w:color w:val="auto"/>
                <w:sz w:val="24"/>
                <w:highlight w:val="none"/>
              </w:rPr>
            </w:pPr>
          </w:p>
        </w:tc>
        <w:tc>
          <w:tcPr>
            <w:tcW w:w="851" w:type="dxa"/>
            <w:noWrap w:val="0"/>
            <w:vAlign w:val="center"/>
          </w:tcPr>
          <w:p w14:paraId="2E4A117A">
            <w:pPr>
              <w:snapToGrid w:val="0"/>
              <w:spacing w:line="360" w:lineRule="auto"/>
              <w:jc w:val="center"/>
              <w:rPr>
                <w:rFonts w:hint="eastAsia" w:ascii="宋体" w:hAnsi="宋体" w:eastAsia="宋体" w:cs="宋体"/>
                <w:color w:val="auto"/>
                <w:sz w:val="24"/>
                <w:highlight w:val="none"/>
              </w:rPr>
            </w:pPr>
          </w:p>
        </w:tc>
        <w:tc>
          <w:tcPr>
            <w:tcW w:w="1151" w:type="dxa"/>
            <w:noWrap w:val="0"/>
            <w:vAlign w:val="center"/>
          </w:tcPr>
          <w:p w14:paraId="11A59A95">
            <w:pPr>
              <w:snapToGrid w:val="0"/>
              <w:spacing w:line="360" w:lineRule="auto"/>
              <w:jc w:val="center"/>
              <w:rPr>
                <w:rFonts w:hint="eastAsia" w:ascii="宋体" w:hAnsi="宋体" w:eastAsia="宋体" w:cs="宋体"/>
                <w:color w:val="auto"/>
                <w:sz w:val="24"/>
                <w:highlight w:val="none"/>
              </w:rPr>
            </w:pPr>
          </w:p>
        </w:tc>
      </w:tr>
      <w:tr w14:paraId="5328E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6D9DC499">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321" w:type="dxa"/>
            <w:noWrap w:val="0"/>
            <w:vAlign w:val="center"/>
          </w:tcPr>
          <w:p w14:paraId="5E513BDA">
            <w:pPr>
              <w:snapToGrid w:val="0"/>
              <w:spacing w:line="360" w:lineRule="auto"/>
              <w:jc w:val="center"/>
              <w:rPr>
                <w:rFonts w:hint="eastAsia" w:ascii="宋体" w:hAnsi="宋体" w:eastAsia="宋体" w:cs="宋体"/>
                <w:color w:val="auto"/>
                <w:sz w:val="24"/>
                <w:highlight w:val="none"/>
              </w:rPr>
            </w:pPr>
          </w:p>
        </w:tc>
        <w:tc>
          <w:tcPr>
            <w:tcW w:w="1417" w:type="dxa"/>
            <w:noWrap w:val="0"/>
            <w:vAlign w:val="center"/>
          </w:tcPr>
          <w:p w14:paraId="65E91717">
            <w:pPr>
              <w:snapToGrid w:val="0"/>
              <w:spacing w:line="360" w:lineRule="auto"/>
              <w:jc w:val="center"/>
              <w:rPr>
                <w:rFonts w:hint="eastAsia" w:ascii="宋体" w:hAnsi="宋体" w:eastAsia="宋体" w:cs="宋体"/>
                <w:color w:val="auto"/>
                <w:sz w:val="24"/>
                <w:highlight w:val="none"/>
              </w:rPr>
            </w:pPr>
          </w:p>
        </w:tc>
        <w:tc>
          <w:tcPr>
            <w:tcW w:w="1418" w:type="dxa"/>
            <w:noWrap w:val="0"/>
            <w:vAlign w:val="center"/>
          </w:tcPr>
          <w:p w14:paraId="305A83D7">
            <w:pPr>
              <w:snapToGrid w:val="0"/>
              <w:spacing w:line="360" w:lineRule="auto"/>
              <w:jc w:val="center"/>
              <w:rPr>
                <w:rFonts w:hint="eastAsia" w:ascii="宋体" w:hAnsi="宋体" w:eastAsia="宋体" w:cs="宋体"/>
                <w:color w:val="auto"/>
                <w:sz w:val="24"/>
                <w:highlight w:val="none"/>
              </w:rPr>
            </w:pPr>
          </w:p>
        </w:tc>
        <w:tc>
          <w:tcPr>
            <w:tcW w:w="1275" w:type="dxa"/>
            <w:noWrap w:val="0"/>
            <w:vAlign w:val="center"/>
          </w:tcPr>
          <w:p w14:paraId="64294720">
            <w:pPr>
              <w:snapToGrid w:val="0"/>
              <w:spacing w:line="360" w:lineRule="auto"/>
              <w:jc w:val="center"/>
              <w:rPr>
                <w:rFonts w:hint="eastAsia" w:ascii="宋体" w:hAnsi="宋体" w:eastAsia="宋体" w:cs="宋体"/>
                <w:color w:val="auto"/>
                <w:sz w:val="24"/>
                <w:highlight w:val="none"/>
              </w:rPr>
            </w:pPr>
          </w:p>
        </w:tc>
        <w:tc>
          <w:tcPr>
            <w:tcW w:w="1276" w:type="dxa"/>
            <w:noWrap w:val="0"/>
            <w:vAlign w:val="center"/>
          </w:tcPr>
          <w:p w14:paraId="2A6397A6">
            <w:pPr>
              <w:snapToGrid w:val="0"/>
              <w:spacing w:line="360" w:lineRule="auto"/>
              <w:jc w:val="center"/>
              <w:rPr>
                <w:rFonts w:hint="eastAsia" w:ascii="宋体" w:hAnsi="宋体" w:eastAsia="宋体" w:cs="宋体"/>
                <w:color w:val="auto"/>
                <w:sz w:val="24"/>
                <w:highlight w:val="none"/>
              </w:rPr>
            </w:pPr>
          </w:p>
        </w:tc>
        <w:tc>
          <w:tcPr>
            <w:tcW w:w="851" w:type="dxa"/>
            <w:noWrap w:val="0"/>
            <w:vAlign w:val="center"/>
          </w:tcPr>
          <w:p w14:paraId="48065156">
            <w:pPr>
              <w:snapToGrid w:val="0"/>
              <w:spacing w:line="360" w:lineRule="auto"/>
              <w:jc w:val="center"/>
              <w:rPr>
                <w:rFonts w:hint="eastAsia" w:ascii="宋体" w:hAnsi="宋体" w:eastAsia="宋体" w:cs="宋体"/>
                <w:color w:val="auto"/>
                <w:sz w:val="24"/>
                <w:highlight w:val="none"/>
              </w:rPr>
            </w:pPr>
          </w:p>
        </w:tc>
        <w:tc>
          <w:tcPr>
            <w:tcW w:w="1151" w:type="dxa"/>
            <w:noWrap w:val="0"/>
            <w:vAlign w:val="center"/>
          </w:tcPr>
          <w:p w14:paraId="6439A546">
            <w:pPr>
              <w:snapToGrid w:val="0"/>
              <w:spacing w:line="360" w:lineRule="auto"/>
              <w:jc w:val="center"/>
              <w:rPr>
                <w:rFonts w:hint="eastAsia" w:ascii="宋体" w:hAnsi="宋体" w:eastAsia="宋体" w:cs="宋体"/>
                <w:color w:val="auto"/>
                <w:sz w:val="24"/>
                <w:highlight w:val="none"/>
              </w:rPr>
            </w:pPr>
          </w:p>
        </w:tc>
      </w:tr>
      <w:tr w14:paraId="1149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55C6FD1D">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321" w:type="dxa"/>
            <w:noWrap w:val="0"/>
            <w:vAlign w:val="center"/>
          </w:tcPr>
          <w:p w14:paraId="1A711382">
            <w:pPr>
              <w:snapToGrid w:val="0"/>
              <w:spacing w:line="360" w:lineRule="auto"/>
              <w:jc w:val="center"/>
              <w:rPr>
                <w:rFonts w:hint="eastAsia" w:ascii="宋体" w:hAnsi="宋体" w:eastAsia="宋体" w:cs="宋体"/>
                <w:color w:val="auto"/>
                <w:sz w:val="24"/>
                <w:highlight w:val="none"/>
              </w:rPr>
            </w:pPr>
          </w:p>
        </w:tc>
        <w:tc>
          <w:tcPr>
            <w:tcW w:w="1417" w:type="dxa"/>
            <w:noWrap w:val="0"/>
            <w:vAlign w:val="center"/>
          </w:tcPr>
          <w:p w14:paraId="297FFB75">
            <w:pPr>
              <w:snapToGrid w:val="0"/>
              <w:spacing w:line="360" w:lineRule="auto"/>
              <w:jc w:val="center"/>
              <w:rPr>
                <w:rFonts w:hint="eastAsia" w:ascii="宋体" w:hAnsi="宋体" w:eastAsia="宋体" w:cs="宋体"/>
                <w:color w:val="auto"/>
                <w:sz w:val="24"/>
                <w:highlight w:val="none"/>
              </w:rPr>
            </w:pPr>
          </w:p>
        </w:tc>
        <w:tc>
          <w:tcPr>
            <w:tcW w:w="1418" w:type="dxa"/>
            <w:noWrap w:val="0"/>
            <w:vAlign w:val="center"/>
          </w:tcPr>
          <w:p w14:paraId="1DC6EC9A">
            <w:pPr>
              <w:snapToGrid w:val="0"/>
              <w:spacing w:line="360" w:lineRule="auto"/>
              <w:jc w:val="center"/>
              <w:rPr>
                <w:rFonts w:hint="eastAsia" w:ascii="宋体" w:hAnsi="宋体" w:eastAsia="宋体" w:cs="宋体"/>
                <w:color w:val="auto"/>
                <w:sz w:val="24"/>
                <w:highlight w:val="none"/>
              </w:rPr>
            </w:pPr>
          </w:p>
        </w:tc>
        <w:tc>
          <w:tcPr>
            <w:tcW w:w="1275" w:type="dxa"/>
            <w:noWrap w:val="0"/>
            <w:vAlign w:val="center"/>
          </w:tcPr>
          <w:p w14:paraId="06A6AF8D">
            <w:pPr>
              <w:snapToGrid w:val="0"/>
              <w:spacing w:line="360" w:lineRule="auto"/>
              <w:jc w:val="center"/>
              <w:rPr>
                <w:rFonts w:hint="eastAsia" w:ascii="宋体" w:hAnsi="宋体" w:eastAsia="宋体" w:cs="宋体"/>
                <w:color w:val="auto"/>
                <w:sz w:val="24"/>
                <w:highlight w:val="none"/>
              </w:rPr>
            </w:pPr>
          </w:p>
        </w:tc>
        <w:tc>
          <w:tcPr>
            <w:tcW w:w="1276" w:type="dxa"/>
            <w:noWrap w:val="0"/>
            <w:vAlign w:val="center"/>
          </w:tcPr>
          <w:p w14:paraId="3E7D771B">
            <w:pPr>
              <w:snapToGrid w:val="0"/>
              <w:spacing w:line="360" w:lineRule="auto"/>
              <w:jc w:val="center"/>
              <w:rPr>
                <w:rFonts w:hint="eastAsia" w:ascii="宋体" w:hAnsi="宋体" w:eastAsia="宋体" w:cs="宋体"/>
                <w:color w:val="auto"/>
                <w:sz w:val="24"/>
                <w:highlight w:val="none"/>
              </w:rPr>
            </w:pPr>
          </w:p>
        </w:tc>
        <w:tc>
          <w:tcPr>
            <w:tcW w:w="851" w:type="dxa"/>
            <w:noWrap w:val="0"/>
            <w:vAlign w:val="center"/>
          </w:tcPr>
          <w:p w14:paraId="062DE209">
            <w:pPr>
              <w:snapToGrid w:val="0"/>
              <w:spacing w:line="360" w:lineRule="auto"/>
              <w:jc w:val="center"/>
              <w:rPr>
                <w:rFonts w:hint="eastAsia" w:ascii="宋体" w:hAnsi="宋体" w:eastAsia="宋体" w:cs="宋体"/>
                <w:color w:val="auto"/>
                <w:sz w:val="24"/>
                <w:highlight w:val="none"/>
              </w:rPr>
            </w:pPr>
          </w:p>
        </w:tc>
        <w:tc>
          <w:tcPr>
            <w:tcW w:w="1151" w:type="dxa"/>
            <w:noWrap w:val="0"/>
            <w:vAlign w:val="center"/>
          </w:tcPr>
          <w:p w14:paraId="464137DF">
            <w:pPr>
              <w:snapToGrid w:val="0"/>
              <w:spacing w:line="360" w:lineRule="auto"/>
              <w:jc w:val="center"/>
              <w:rPr>
                <w:rFonts w:hint="eastAsia" w:ascii="宋体" w:hAnsi="宋体" w:eastAsia="宋体" w:cs="宋体"/>
                <w:color w:val="auto"/>
                <w:sz w:val="24"/>
                <w:highlight w:val="none"/>
              </w:rPr>
            </w:pPr>
          </w:p>
        </w:tc>
      </w:tr>
      <w:tr w14:paraId="763D8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971" w:type="dxa"/>
            <w:noWrap w:val="0"/>
            <w:vAlign w:val="center"/>
          </w:tcPr>
          <w:p w14:paraId="45C99487">
            <w:pPr>
              <w:snapToGrid w:val="0"/>
              <w:spacing w:line="360" w:lineRule="auto"/>
              <w:jc w:val="center"/>
              <w:rPr>
                <w:rFonts w:hint="eastAsia" w:ascii="宋体" w:hAnsi="宋体" w:eastAsia="宋体" w:cs="宋体"/>
                <w:color w:val="auto"/>
                <w:sz w:val="24"/>
                <w:highlight w:val="none"/>
              </w:rPr>
            </w:pPr>
          </w:p>
        </w:tc>
        <w:tc>
          <w:tcPr>
            <w:tcW w:w="1321" w:type="dxa"/>
            <w:noWrap w:val="0"/>
            <w:vAlign w:val="center"/>
          </w:tcPr>
          <w:p w14:paraId="6D8F164F">
            <w:pPr>
              <w:snapToGrid w:val="0"/>
              <w:spacing w:line="360" w:lineRule="auto"/>
              <w:jc w:val="center"/>
              <w:rPr>
                <w:rFonts w:hint="eastAsia" w:ascii="宋体" w:hAnsi="宋体" w:eastAsia="宋体" w:cs="宋体"/>
                <w:color w:val="auto"/>
                <w:sz w:val="24"/>
                <w:highlight w:val="none"/>
              </w:rPr>
            </w:pPr>
          </w:p>
        </w:tc>
        <w:tc>
          <w:tcPr>
            <w:tcW w:w="1417" w:type="dxa"/>
            <w:noWrap w:val="0"/>
            <w:vAlign w:val="center"/>
          </w:tcPr>
          <w:p w14:paraId="656BD439">
            <w:pPr>
              <w:snapToGrid w:val="0"/>
              <w:spacing w:line="360" w:lineRule="auto"/>
              <w:jc w:val="center"/>
              <w:rPr>
                <w:rFonts w:hint="eastAsia" w:ascii="宋体" w:hAnsi="宋体" w:eastAsia="宋体" w:cs="宋体"/>
                <w:color w:val="auto"/>
                <w:sz w:val="24"/>
                <w:highlight w:val="none"/>
              </w:rPr>
            </w:pPr>
          </w:p>
        </w:tc>
        <w:tc>
          <w:tcPr>
            <w:tcW w:w="1418" w:type="dxa"/>
            <w:noWrap w:val="0"/>
            <w:vAlign w:val="center"/>
          </w:tcPr>
          <w:p w14:paraId="0B5D6DBA">
            <w:pPr>
              <w:snapToGrid w:val="0"/>
              <w:spacing w:line="360" w:lineRule="auto"/>
              <w:jc w:val="center"/>
              <w:rPr>
                <w:rFonts w:hint="eastAsia" w:ascii="宋体" w:hAnsi="宋体" w:eastAsia="宋体" w:cs="宋体"/>
                <w:color w:val="auto"/>
                <w:sz w:val="24"/>
                <w:highlight w:val="none"/>
              </w:rPr>
            </w:pPr>
          </w:p>
        </w:tc>
        <w:tc>
          <w:tcPr>
            <w:tcW w:w="1275" w:type="dxa"/>
            <w:noWrap w:val="0"/>
            <w:vAlign w:val="center"/>
          </w:tcPr>
          <w:p w14:paraId="3DB8BF3E">
            <w:pPr>
              <w:snapToGrid w:val="0"/>
              <w:spacing w:line="360" w:lineRule="auto"/>
              <w:jc w:val="center"/>
              <w:rPr>
                <w:rFonts w:hint="eastAsia" w:ascii="宋体" w:hAnsi="宋体" w:eastAsia="宋体" w:cs="宋体"/>
                <w:color w:val="auto"/>
                <w:sz w:val="24"/>
                <w:highlight w:val="none"/>
              </w:rPr>
            </w:pPr>
          </w:p>
        </w:tc>
        <w:tc>
          <w:tcPr>
            <w:tcW w:w="1276" w:type="dxa"/>
            <w:noWrap w:val="0"/>
            <w:vAlign w:val="center"/>
          </w:tcPr>
          <w:p w14:paraId="307E8CC3">
            <w:pPr>
              <w:snapToGrid w:val="0"/>
              <w:spacing w:line="360" w:lineRule="auto"/>
              <w:jc w:val="center"/>
              <w:rPr>
                <w:rFonts w:hint="eastAsia" w:ascii="宋体" w:hAnsi="宋体" w:eastAsia="宋体" w:cs="宋体"/>
                <w:color w:val="auto"/>
                <w:sz w:val="24"/>
                <w:highlight w:val="none"/>
              </w:rPr>
            </w:pPr>
          </w:p>
        </w:tc>
        <w:tc>
          <w:tcPr>
            <w:tcW w:w="851" w:type="dxa"/>
            <w:noWrap w:val="0"/>
            <w:vAlign w:val="center"/>
          </w:tcPr>
          <w:p w14:paraId="4DF92E9D">
            <w:pPr>
              <w:snapToGrid w:val="0"/>
              <w:spacing w:line="360" w:lineRule="auto"/>
              <w:jc w:val="center"/>
              <w:rPr>
                <w:rFonts w:hint="eastAsia" w:ascii="宋体" w:hAnsi="宋体" w:eastAsia="宋体" w:cs="宋体"/>
                <w:color w:val="auto"/>
                <w:sz w:val="24"/>
                <w:highlight w:val="none"/>
              </w:rPr>
            </w:pPr>
          </w:p>
        </w:tc>
        <w:tc>
          <w:tcPr>
            <w:tcW w:w="1151" w:type="dxa"/>
            <w:noWrap w:val="0"/>
            <w:vAlign w:val="center"/>
          </w:tcPr>
          <w:p w14:paraId="18B4EC9B">
            <w:pPr>
              <w:snapToGrid w:val="0"/>
              <w:spacing w:line="360" w:lineRule="auto"/>
              <w:jc w:val="center"/>
              <w:rPr>
                <w:rFonts w:hint="eastAsia" w:ascii="宋体" w:hAnsi="宋体" w:eastAsia="宋体" w:cs="宋体"/>
                <w:color w:val="auto"/>
                <w:sz w:val="24"/>
                <w:highlight w:val="none"/>
              </w:rPr>
            </w:pPr>
          </w:p>
        </w:tc>
      </w:tr>
      <w:tr w14:paraId="1451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971" w:type="dxa"/>
            <w:noWrap w:val="0"/>
            <w:vAlign w:val="center"/>
          </w:tcPr>
          <w:p w14:paraId="43E2D3BF">
            <w:pPr>
              <w:snapToGrid w:val="0"/>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合计</w:t>
            </w:r>
          </w:p>
        </w:tc>
        <w:tc>
          <w:tcPr>
            <w:tcW w:w="8709" w:type="dxa"/>
            <w:gridSpan w:val="7"/>
            <w:noWrap w:val="0"/>
            <w:vAlign w:val="center"/>
          </w:tcPr>
          <w:p w14:paraId="45A02EA0">
            <w:pPr>
              <w:snapToGrid w:val="0"/>
              <w:spacing w:line="360" w:lineRule="auto"/>
              <w:jc w:val="center"/>
              <w:rPr>
                <w:rFonts w:hint="eastAsia" w:ascii="宋体" w:hAnsi="宋体" w:eastAsia="宋体" w:cs="宋体"/>
                <w:color w:val="auto"/>
                <w:sz w:val="24"/>
                <w:highlight w:val="none"/>
              </w:rPr>
            </w:pPr>
          </w:p>
        </w:tc>
      </w:tr>
    </w:tbl>
    <w:p w14:paraId="099C076B">
      <w:pPr>
        <w:widowControl/>
        <w:adjustRightInd w:val="0"/>
        <w:spacing w:line="480" w:lineRule="auto"/>
        <w:jc w:val="center"/>
        <w:rPr>
          <w:rFonts w:hint="eastAsia" w:ascii="宋体" w:hAnsi="宋体" w:eastAsia="宋体" w:cs="宋体"/>
          <w:color w:val="auto"/>
          <w:kern w:val="0"/>
          <w:sz w:val="20"/>
          <w:szCs w:val="21"/>
          <w:highlight w:val="none"/>
          <w:lang w:val="zh-CN"/>
        </w:rPr>
      </w:pPr>
    </w:p>
    <w:p w14:paraId="5D983789">
      <w:pPr>
        <w:rPr>
          <w:rFonts w:hint="eastAsia" w:ascii="宋体" w:hAnsi="宋体" w:eastAsia="宋体" w:cs="宋体"/>
          <w:bCs/>
          <w:color w:val="auto"/>
          <w:sz w:val="32"/>
          <w:szCs w:val="32"/>
          <w:highlight w:val="none"/>
          <w:lang w:bidi="ar"/>
        </w:rPr>
      </w:pPr>
      <w:r>
        <w:rPr>
          <w:rFonts w:hint="eastAsia" w:ascii="宋体" w:hAnsi="宋体" w:eastAsia="宋体" w:cs="宋体"/>
          <w:bCs/>
          <w:color w:val="auto"/>
          <w:sz w:val="32"/>
          <w:szCs w:val="32"/>
          <w:highlight w:val="none"/>
          <w:lang w:bidi="ar"/>
        </w:rPr>
        <w:br w:type="page"/>
      </w:r>
    </w:p>
    <w:p w14:paraId="575ADF71">
      <w:pPr>
        <w:jc w:val="left"/>
        <w:rPr>
          <w:rFonts w:hint="eastAsia" w:ascii="宋体" w:hAnsi="宋体" w:eastAsia="宋体" w:cs="宋体"/>
          <w:bCs/>
          <w:color w:val="auto"/>
          <w:sz w:val="32"/>
          <w:szCs w:val="32"/>
          <w:highlight w:val="none"/>
          <w:lang w:eastAsia="zh-CN" w:bidi="ar"/>
        </w:rPr>
      </w:pPr>
      <w:r>
        <w:rPr>
          <w:rFonts w:hint="eastAsia" w:ascii="宋体" w:hAnsi="宋体" w:eastAsia="宋体" w:cs="宋体"/>
          <w:bCs/>
          <w:color w:val="auto"/>
          <w:sz w:val="32"/>
          <w:szCs w:val="32"/>
          <w:highlight w:val="none"/>
          <w:lang w:bidi="ar"/>
        </w:rPr>
        <w:t>附件</w:t>
      </w:r>
      <w:r>
        <w:rPr>
          <w:rFonts w:hint="eastAsia" w:ascii="宋体" w:hAnsi="宋体" w:eastAsia="宋体" w:cs="宋体"/>
          <w:bCs/>
          <w:color w:val="auto"/>
          <w:sz w:val="32"/>
          <w:szCs w:val="32"/>
          <w:highlight w:val="none"/>
          <w:lang w:val="en-US" w:eastAsia="zh-CN" w:bidi="ar"/>
        </w:rPr>
        <w:t>6</w:t>
      </w:r>
    </w:p>
    <w:p w14:paraId="59BD0D06">
      <w:pPr>
        <w:spacing w:before="240" w:line="312"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供应商信用承诺书</w:t>
      </w:r>
    </w:p>
    <w:p w14:paraId="7D362DF6">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为营造公开、公平、公正的公共资源交易环境，树立诚信守法的投标人形象，本人代表本单位作出以下承诺：</w:t>
      </w:r>
    </w:p>
    <w:p w14:paraId="26D59EB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一、本单位对所提交的单位基本信息、单位负责人、项目负责人、技术负责人、从业资质和资格、业绩、财务状况、信誉等所有资料，均合法、真实、准确、有效，无任何伪造、修改、虚假成分；</w:t>
      </w:r>
    </w:p>
    <w:p w14:paraId="2E896335">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二、严格依照国家和省、市、县关于政府采购等方面的法律、法规、规章、规范性文件，参加公共资源交易招标投标活动；积极履行社会责任，促进廉政建设；</w:t>
      </w:r>
    </w:p>
    <w:p w14:paraId="57067F6F">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三、严格遵守即时信息公示规定，及时更新公共资源交易中心主体信息库中信息；</w:t>
      </w:r>
    </w:p>
    <w:p w14:paraId="14717C7E">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四、自我约束、自我管理，守合同、重信用，不参与围标串标、弄虚作假、骗取中标、干扰评标、违约毁约、恶意投诉等行为，主动维护公共资源交易招标投标的良好秩序；</w:t>
      </w:r>
    </w:p>
    <w:p w14:paraId="5CE9FF3B">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3D61BED2">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六、自觉接受政府部门、行业组织、社会公众、新闻舆论等监督；</w:t>
      </w:r>
    </w:p>
    <w:p w14:paraId="3D1C2553">
      <w:pPr>
        <w:spacing w:line="360" w:lineRule="auto"/>
        <w:ind w:firstLine="480" w:firstLineChars="2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bidi="ar"/>
        </w:rPr>
        <w:t>七、上述承诺已向本单位员工作了宣传教育；</w:t>
      </w:r>
    </w:p>
    <w:p w14:paraId="595C789F">
      <w:pPr>
        <w:tabs>
          <w:tab w:val="left" w:pos="4860"/>
        </w:tabs>
        <w:spacing w:line="588" w:lineRule="exact"/>
        <w:ind w:right="1560"/>
        <w:jc w:val="left"/>
        <w:rPr>
          <w:rFonts w:hint="eastAsia" w:ascii="宋体" w:hAnsi="宋体" w:eastAsia="宋体" w:cs="宋体"/>
          <w:b/>
          <w:color w:val="auto"/>
          <w:kern w:val="0"/>
          <w:sz w:val="24"/>
          <w:highlight w:val="none"/>
          <w:lang w:val="zh-CN" w:bidi="ar"/>
        </w:rPr>
      </w:pPr>
      <w:r>
        <w:rPr>
          <w:rFonts w:hint="eastAsia" w:ascii="宋体" w:hAnsi="宋体" w:eastAsia="宋体" w:cs="宋体"/>
          <w:b/>
          <w:color w:val="auto"/>
          <w:kern w:val="0"/>
          <w:sz w:val="24"/>
          <w:highlight w:val="none"/>
          <w:lang w:val="zh-CN" w:bidi="ar"/>
        </w:rPr>
        <w:t>如有违反上述承诺的不良行为，本单位同意将其予以上网公示。</w:t>
      </w:r>
    </w:p>
    <w:p w14:paraId="1CCDF754">
      <w:pPr>
        <w:spacing w:line="360" w:lineRule="auto"/>
        <w:ind w:firstLine="3080" w:firstLineChars="11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w:t>
      </w:r>
    </w:p>
    <w:p w14:paraId="387BB3A2">
      <w:pPr>
        <w:spacing w:line="360" w:lineRule="auto"/>
        <w:ind w:firstLine="3080" w:firstLineChars="1100"/>
        <w:jc w:val="center"/>
        <w:rPr>
          <w:rFonts w:hint="eastAsia" w:ascii="宋体" w:hAnsi="宋体" w:eastAsia="宋体" w:cs="宋体"/>
          <w:color w:val="auto"/>
          <w:kern w:val="0"/>
          <w:sz w:val="28"/>
          <w:szCs w:val="28"/>
          <w:highlight w:val="none"/>
          <w:u w:val="single"/>
          <w:lang w:val="zh-CN"/>
        </w:rPr>
      </w:pPr>
      <w:r>
        <w:rPr>
          <w:rFonts w:hint="eastAsia" w:ascii="宋体" w:hAnsi="宋体" w:eastAsia="宋体" w:cs="宋体"/>
          <w:color w:val="auto"/>
          <w:kern w:val="0"/>
          <w:sz w:val="28"/>
          <w:szCs w:val="28"/>
          <w:highlight w:val="none"/>
          <w:lang w:val="zh-CN" w:bidi="ar"/>
        </w:rPr>
        <w:t>投标</w:t>
      </w:r>
      <w:r>
        <w:rPr>
          <w:rFonts w:hint="eastAsia" w:ascii="宋体" w:hAnsi="宋体" w:cs="宋体"/>
          <w:color w:val="auto"/>
          <w:kern w:val="0"/>
          <w:sz w:val="28"/>
          <w:szCs w:val="28"/>
          <w:highlight w:val="none"/>
          <w:lang w:val="en-US" w:eastAsia="zh-CN" w:bidi="ar"/>
        </w:rPr>
        <w:t>单位</w:t>
      </w:r>
      <w:r>
        <w:rPr>
          <w:rFonts w:hint="eastAsia" w:ascii="宋体" w:hAnsi="宋体" w:eastAsia="宋体" w:cs="宋体"/>
          <w:color w:val="auto"/>
          <w:kern w:val="0"/>
          <w:sz w:val="28"/>
          <w:szCs w:val="28"/>
          <w:highlight w:val="none"/>
          <w:lang w:val="zh-CN" w:bidi="ar"/>
        </w:rPr>
        <w:t>全称(盖公章)：</w:t>
      </w:r>
    </w:p>
    <w:p w14:paraId="70D1EFD7">
      <w:pPr>
        <w:spacing w:line="360" w:lineRule="auto"/>
        <w:ind w:firstLine="2240" w:firstLineChars="800"/>
        <w:rPr>
          <w:rFonts w:hint="eastAsia" w:ascii="宋体" w:hAnsi="宋体" w:eastAsia="宋体" w:cs="宋体"/>
          <w:color w:val="auto"/>
          <w:sz w:val="28"/>
          <w:szCs w:val="28"/>
          <w:highlight w:val="none"/>
          <w:u w:val="single"/>
          <w:lang w:val="zh-CN"/>
        </w:rPr>
      </w:pPr>
      <w:r>
        <w:rPr>
          <w:rFonts w:hint="eastAsia" w:ascii="宋体" w:hAnsi="宋体" w:eastAsia="宋体" w:cs="宋体"/>
          <w:color w:val="auto"/>
          <w:kern w:val="0"/>
          <w:sz w:val="28"/>
          <w:szCs w:val="28"/>
          <w:highlight w:val="none"/>
          <w:lang w:val="zh-CN" w:bidi="ar"/>
        </w:rPr>
        <w:t>法定代表人</w:t>
      </w:r>
      <w:r>
        <w:rPr>
          <w:rFonts w:hint="eastAsia" w:ascii="宋体" w:hAnsi="宋体" w:eastAsia="宋体" w:cs="宋体"/>
          <w:color w:val="auto"/>
          <w:kern w:val="0"/>
          <w:sz w:val="28"/>
          <w:szCs w:val="28"/>
          <w:highlight w:val="none"/>
          <w:lang w:bidi="ar"/>
        </w:rPr>
        <w:t>或授权委托人</w:t>
      </w:r>
      <w:r>
        <w:rPr>
          <w:rFonts w:hint="eastAsia" w:ascii="宋体" w:hAnsi="宋体" w:eastAsia="宋体" w:cs="宋体"/>
          <w:color w:val="auto"/>
          <w:kern w:val="0"/>
          <w:sz w:val="28"/>
          <w:szCs w:val="28"/>
          <w:highlight w:val="none"/>
          <w:lang w:val="zh-CN" w:bidi="ar"/>
        </w:rPr>
        <w:t>（签字或盖章）：</w:t>
      </w:r>
    </w:p>
    <w:p w14:paraId="1020DB57">
      <w:pPr>
        <w:snapToGrid w:val="0"/>
        <w:spacing w:line="300" w:lineRule="auto"/>
        <w:ind w:firstLine="3920" w:firstLineChars="1400"/>
        <w:outlineLvl w:val="0"/>
        <w:rPr>
          <w:rFonts w:hint="eastAsia" w:ascii="宋体" w:hAnsi="宋体" w:eastAsia="宋体" w:cs="宋体"/>
          <w:color w:val="auto"/>
          <w:sz w:val="32"/>
          <w:szCs w:val="32"/>
          <w:highlight w:val="none"/>
        </w:rPr>
      </w:pPr>
      <w:r>
        <w:rPr>
          <w:rFonts w:hint="eastAsia" w:ascii="宋体" w:hAnsi="宋体" w:eastAsia="宋体" w:cs="宋体"/>
          <w:color w:val="auto"/>
          <w:kern w:val="0"/>
          <w:sz w:val="28"/>
          <w:szCs w:val="28"/>
          <w:highlight w:val="none"/>
          <w:lang w:val="zh-CN" w:bidi="ar"/>
        </w:rPr>
        <w:t>时间：  年  月   日</w:t>
      </w:r>
    </w:p>
    <w:p w14:paraId="1696DF75">
      <w:pPr>
        <w:snapToGrid w:val="0"/>
        <w:spacing w:line="300" w:lineRule="auto"/>
        <w:outlineLvl w:val="0"/>
        <w:rPr>
          <w:rFonts w:hint="eastAsia" w:ascii="宋体" w:hAnsi="宋体" w:eastAsia="宋体" w:cs="宋体"/>
          <w:color w:val="auto"/>
          <w:sz w:val="32"/>
          <w:szCs w:val="32"/>
          <w:highlight w:val="none"/>
        </w:rPr>
      </w:pPr>
    </w:p>
    <w:p w14:paraId="03C105E0">
      <w:pPr>
        <w:snapToGrid w:val="0"/>
        <w:spacing w:line="300" w:lineRule="auto"/>
        <w:outlineLvl w:val="0"/>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附件</w:t>
      </w:r>
      <w:r>
        <w:rPr>
          <w:rFonts w:hint="eastAsia" w:ascii="宋体" w:hAnsi="宋体" w:eastAsia="宋体" w:cs="宋体"/>
          <w:color w:val="auto"/>
          <w:sz w:val="32"/>
          <w:szCs w:val="32"/>
          <w:highlight w:val="none"/>
          <w:lang w:val="en-US" w:eastAsia="zh-CN"/>
        </w:rPr>
        <w:t>7</w:t>
      </w:r>
    </w:p>
    <w:p w14:paraId="68C2C62D">
      <w:pPr>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lang w:eastAsia="zh-CN"/>
        </w:rPr>
        <w:t>质询</w:t>
      </w:r>
      <w:r>
        <w:rPr>
          <w:rFonts w:hint="eastAsia" w:ascii="宋体" w:hAnsi="宋体" w:eastAsia="宋体" w:cs="宋体"/>
          <w:bCs/>
          <w:color w:val="auto"/>
          <w:sz w:val="44"/>
          <w:szCs w:val="44"/>
          <w:highlight w:val="none"/>
        </w:rPr>
        <w:t>函范本</w:t>
      </w:r>
    </w:p>
    <w:p w14:paraId="30173652">
      <w:pPr>
        <w:adjustRightInd w:val="0"/>
        <w:snapToGrid w:val="0"/>
        <w:spacing w:before="312" w:beforeLines="100"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一、</w:t>
      </w:r>
      <w:r>
        <w:rPr>
          <w:rFonts w:hint="eastAsia" w:ascii="宋体" w:hAnsi="宋体" w:eastAsia="宋体" w:cs="宋体"/>
          <w:bCs/>
          <w:color w:val="auto"/>
          <w:sz w:val="32"/>
          <w:szCs w:val="32"/>
          <w:highlight w:val="none"/>
          <w:lang w:eastAsia="zh-CN"/>
        </w:rPr>
        <w:t>质询</w:t>
      </w:r>
      <w:r>
        <w:rPr>
          <w:rFonts w:hint="eastAsia" w:ascii="宋体" w:hAnsi="宋体" w:eastAsia="宋体" w:cs="宋体"/>
          <w:bCs/>
          <w:color w:val="auto"/>
          <w:sz w:val="32"/>
          <w:szCs w:val="32"/>
          <w:highlight w:val="none"/>
        </w:rPr>
        <w:t>供应商基本信息</w:t>
      </w:r>
    </w:p>
    <w:p w14:paraId="6F0FBC27">
      <w:pPr>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供应商：</w:t>
      </w:r>
    </w:p>
    <w:p w14:paraId="4BA66ED6">
      <w:pPr>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地址：邮编：</w:t>
      </w:r>
    </w:p>
    <w:p w14:paraId="0A79003C">
      <w:pPr>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联系人：联系电话：</w:t>
      </w:r>
    </w:p>
    <w:p w14:paraId="5B65FA7F">
      <w:pPr>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授权代表：</w:t>
      </w:r>
    </w:p>
    <w:p w14:paraId="3AD86B7A">
      <w:pPr>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联系电话：</w:t>
      </w:r>
    </w:p>
    <w:p w14:paraId="4858534A">
      <w:pPr>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地址：邮编：</w:t>
      </w:r>
    </w:p>
    <w:p w14:paraId="2FF05825">
      <w:pPr>
        <w:adjustRightInd w:val="0"/>
        <w:snapToGrid w:val="0"/>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二、</w:t>
      </w:r>
      <w:r>
        <w:rPr>
          <w:rFonts w:hint="eastAsia" w:ascii="宋体" w:hAnsi="宋体" w:eastAsia="宋体" w:cs="宋体"/>
          <w:bCs/>
          <w:color w:val="auto"/>
          <w:sz w:val="32"/>
          <w:szCs w:val="32"/>
          <w:highlight w:val="none"/>
          <w:lang w:eastAsia="zh-CN"/>
        </w:rPr>
        <w:t>质询</w:t>
      </w:r>
      <w:r>
        <w:rPr>
          <w:rFonts w:hint="eastAsia" w:ascii="宋体" w:hAnsi="宋体" w:eastAsia="宋体" w:cs="宋体"/>
          <w:bCs/>
          <w:color w:val="auto"/>
          <w:sz w:val="32"/>
          <w:szCs w:val="32"/>
          <w:highlight w:val="none"/>
        </w:rPr>
        <w:t>项目基本情况</w:t>
      </w:r>
    </w:p>
    <w:p w14:paraId="1B63211A">
      <w:pPr>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项目的名称：</w:t>
      </w:r>
    </w:p>
    <w:p w14:paraId="5A6B45E8">
      <w:pPr>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项目的编号：包号：</w:t>
      </w:r>
    </w:p>
    <w:p w14:paraId="4C71A20F">
      <w:pPr>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招标人名称：</w:t>
      </w:r>
    </w:p>
    <w:p w14:paraId="22F3FE1C">
      <w:pPr>
        <w:adjustRightInd w:val="0"/>
        <w:snapToGrid w:val="0"/>
        <w:spacing w:line="360" w:lineRule="auto"/>
        <w:rPr>
          <w:rFonts w:hint="eastAsia" w:ascii="宋体" w:hAnsi="宋体" w:eastAsia="宋体" w:cs="宋体"/>
          <w:color w:val="auto"/>
          <w:sz w:val="32"/>
          <w:szCs w:val="32"/>
          <w:highlight w:val="none"/>
        </w:rPr>
      </w:pPr>
      <w:r>
        <w:rPr>
          <w:rFonts w:hint="eastAsia" w:ascii="宋体" w:hAnsi="宋体" w:cs="宋体"/>
          <w:color w:val="auto"/>
          <w:sz w:val="32"/>
          <w:szCs w:val="32"/>
          <w:highlight w:val="none"/>
          <w:lang w:eastAsia="zh-CN"/>
        </w:rPr>
        <w:t>招标文件</w:t>
      </w:r>
      <w:r>
        <w:rPr>
          <w:rFonts w:hint="eastAsia" w:ascii="宋体" w:hAnsi="宋体" w:eastAsia="宋体" w:cs="宋体"/>
          <w:color w:val="auto"/>
          <w:sz w:val="32"/>
          <w:szCs w:val="32"/>
          <w:highlight w:val="none"/>
        </w:rPr>
        <w:t>获取日期：</w:t>
      </w:r>
    </w:p>
    <w:p w14:paraId="2ED8A219">
      <w:pPr>
        <w:adjustRightInd w:val="0"/>
        <w:snapToGrid w:val="0"/>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三、</w:t>
      </w:r>
      <w:r>
        <w:rPr>
          <w:rFonts w:hint="eastAsia" w:ascii="宋体" w:hAnsi="宋体" w:eastAsia="宋体" w:cs="宋体"/>
          <w:bCs/>
          <w:color w:val="auto"/>
          <w:sz w:val="32"/>
          <w:szCs w:val="32"/>
          <w:highlight w:val="none"/>
          <w:lang w:eastAsia="zh-CN"/>
        </w:rPr>
        <w:t>质询</w:t>
      </w:r>
      <w:r>
        <w:rPr>
          <w:rFonts w:hint="eastAsia" w:ascii="宋体" w:hAnsi="宋体" w:eastAsia="宋体" w:cs="宋体"/>
          <w:bCs/>
          <w:color w:val="auto"/>
          <w:sz w:val="32"/>
          <w:szCs w:val="32"/>
          <w:highlight w:val="none"/>
        </w:rPr>
        <w:t>事项具体内容</w:t>
      </w:r>
    </w:p>
    <w:p w14:paraId="1260A421">
      <w:pPr>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事项1：</w:t>
      </w:r>
    </w:p>
    <w:p w14:paraId="401C0BF2">
      <w:pPr>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事实依据：</w:t>
      </w:r>
    </w:p>
    <w:p w14:paraId="3DB21765">
      <w:pPr>
        <w:adjustRightInd w:val="0"/>
        <w:snapToGrid w:val="0"/>
        <w:spacing w:line="360" w:lineRule="auto"/>
        <w:rPr>
          <w:rFonts w:hint="eastAsia" w:ascii="宋体" w:hAnsi="宋体" w:eastAsia="宋体" w:cs="宋体"/>
          <w:color w:val="auto"/>
          <w:sz w:val="32"/>
          <w:szCs w:val="32"/>
          <w:highlight w:val="none"/>
        </w:rPr>
      </w:pPr>
    </w:p>
    <w:p w14:paraId="64DE4077">
      <w:pPr>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法律依据：</w:t>
      </w:r>
    </w:p>
    <w:p w14:paraId="10B41D22">
      <w:pPr>
        <w:adjustRightInd w:val="0"/>
        <w:snapToGrid w:val="0"/>
        <w:spacing w:line="360" w:lineRule="auto"/>
        <w:rPr>
          <w:rFonts w:hint="eastAsia" w:ascii="宋体" w:hAnsi="宋体" w:eastAsia="宋体" w:cs="宋体"/>
          <w:color w:val="auto"/>
          <w:sz w:val="32"/>
          <w:szCs w:val="32"/>
          <w:highlight w:val="none"/>
          <w:u w:val="dotted"/>
        </w:rPr>
      </w:pPr>
    </w:p>
    <w:p w14:paraId="6F777AC8">
      <w:pPr>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事项2</w:t>
      </w:r>
    </w:p>
    <w:p w14:paraId="0D607566">
      <w:pPr>
        <w:adjustRightInd w:val="0"/>
        <w:snapToGrid w:val="0"/>
        <w:spacing w:line="360" w:lineRule="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w:t>
      </w:r>
    </w:p>
    <w:p w14:paraId="60D4157B">
      <w:pPr>
        <w:adjustRightInd w:val="0"/>
        <w:snapToGrid w:val="0"/>
        <w:spacing w:line="360" w:lineRule="auto"/>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四、与</w:t>
      </w:r>
      <w:r>
        <w:rPr>
          <w:rFonts w:hint="eastAsia" w:ascii="宋体" w:hAnsi="宋体" w:eastAsia="宋体" w:cs="宋体"/>
          <w:bCs/>
          <w:color w:val="auto"/>
          <w:sz w:val="32"/>
          <w:szCs w:val="32"/>
          <w:highlight w:val="none"/>
          <w:lang w:eastAsia="zh-CN"/>
        </w:rPr>
        <w:t>质询</w:t>
      </w:r>
      <w:r>
        <w:rPr>
          <w:rFonts w:hint="eastAsia" w:ascii="宋体" w:hAnsi="宋体" w:eastAsia="宋体" w:cs="宋体"/>
          <w:bCs/>
          <w:color w:val="auto"/>
          <w:sz w:val="32"/>
          <w:szCs w:val="32"/>
          <w:highlight w:val="none"/>
        </w:rPr>
        <w:t>事项相关的</w:t>
      </w:r>
      <w:r>
        <w:rPr>
          <w:rFonts w:hint="eastAsia" w:ascii="宋体" w:hAnsi="宋体" w:eastAsia="宋体" w:cs="宋体"/>
          <w:bCs/>
          <w:color w:val="auto"/>
          <w:sz w:val="32"/>
          <w:szCs w:val="32"/>
          <w:highlight w:val="none"/>
          <w:lang w:eastAsia="zh-CN"/>
        </w:rPr>
        <w:t>质询</w:t>
      </w:r>
      <w:r>
        <w:rPr>
          <w:rFonts w:hint="eastAsia" w:ascii="宋体" w:hAnsi="宋体" w:eastAsia="宋体" w:cs="宋体"/>
          <w:bCs/>
          <w:color w:val="auto"/>
          <w:sz w:val="32"/>
          <w:szCs w:val="32"/>
          <w:highlight w:val="none"/>
        </w:rPr>
        <w:t>请求</w:t>
      </w:r>
    </w:p>
    <w:p w14:paraId="6D5E3E46">
      <w:pPr>
        <w:adjustRightInd w:val="0"/>
        <w:snapToGrid w:val="0"/>
        <w:spacing w:line="360" w:lineRule="auto"/>
        <w:rPr>
          <w:rFonts w:hint="eastAsia" w:ascii="宋体" w:hAnsi="宋体" w:eastAsia="宋体" w:cs="宋体"/>
          <w:color w:val="auto"/>
          <w:sz w:val="32"/>
          <w:szCs w:val="32"/>
          <w:highlight w:val="none"/>
          <w:u w:val="dotted"/>
        </w:rPr>
      </w:pPr>
      <w:r>
        <w:rPr>
          <w:rFonts w:hint="eastAsia" w:ascii="宋体" w:hAnsi="宋体" w:eastAsia="宋体" w:cs="宋体"/>
          <w:color w:val="auto"/>
          <w:sz w:val="32"/>
          <w:szCs w:val="32"/>
          <w:highlight w:val="none"/>
        </w:rPr>
        <w:t>请求：</w:t>
      </w:r>
    </w:p>
    <w:p w14:paraId="1EDA63FA">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签字(签章)：                   公章：                      </w:t>
      </w:r>
    </w:p>
    <w:p w14:paraId="412D4089">
      <w:pPr>
        <w:rPr>
          <w:rFonts w:hint="eastAsia"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日期：    </w:t>
      </w:r>
    </w:p>
    <w:p w14:paraId="450F40B6">
      <w:pPr>
        <w:rPr>
          <w:rFonts w:hint="eastAsia" w:ascii="宋体" w:hAnsi="宋体" w:eastAsia="宋体" w:cs="宋体"/>
          <w:color w:val="auto"/>
          <w:sz w:val="32"/>
          <w:szCs w:val="32"/>
          <w:highlight w:val="none"/>
        </w:rPr>
      </w:pPr>
    </w:p>
    <w:p w14:paraId="353ADB5D">
      <w:pPr>
        <w:pStyle w:val="34"/>
        <w:ind w:firstLine="240"/>
        <w:rPr>
          <w:rFonts w:hint="eastAsia" w:ascii="宋体" w:hAnsi="宋体" w:eastAsia="宋体" w:cs="宋体"/>
          <w:color w:val="auto"/>
          <w:highlight w:val="none"/>
        </w:rPr>
      </w:pPr>
    </w:p>
    <w:p w14:paraId="2BEDF586">
      <w:pP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eastAsia="zh-CN"/>
        </w:rPr>
        <w:t>质询</w:t>
      </w:r>
      <w:r>
        <w:rPr>
          <w:rFonts w:hint="eastAsia" w:ascii="宋体" w:hAnsi="宋体" w:eastAsia="宋体" w:cs="宋体"/>
          <w:b/>
          <w:color w:val="auto"/>
          <w:sz w:val="32"/>
          <w:szCs w:val="32"/>
          <w:highlight w:val="none"/>
        </w:rPr>
        <w:t>函制作说明：</w:t>
      </w:r>
    </w:p>
    <w:p w14:paraId="51DEB6BA">
      <w:pPr>
        <w:widowControl/>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1.供应商提出</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时，应提交</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函和必要的证明材料。</w:t>
      </w:r>
    </w:p>
    <w:p w14:paraId="2F00BC93">
      <w:pPr>
        <w:widowControl/>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2.</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供应商若委托代理人进行</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的，</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函应按要求列明“授权代表”的有关内容，并在附件中提交由</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kern w:val="0"/>
          <w:sz w:val="32"/>
          <w:szCs w:val="32"/>
          <w:highlight w:val="none"/>
        </w:rPr>
        <w:t>供应商签署的授权委托书。授权委托书应载明代理人的姓名或者名称、代理事项、具体权限、期限和相关事项。</w:t>
      </w:r>
    </w:p>
    <w:p w14:paraId="3F225704">
      <w:pPr>
        <w:widowControl/>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3.</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供应商若对项目的某一分包进行</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函中应列明具体分包号。</w:t>
      </w:r>
    </w:p>
    <w:p w14:paraId="5B41A722">
      <w:pPr>
        <w:widowControl/>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4.</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函的</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事项应具体、明确，并有必要的事实依据和法律依据。</w:t>
      </w:r>
    </w:p>
    <w:p w14:paraId="46672E03">
      <w:pPr>
        <w:widowControl/>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5.</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函的</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请求应与</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事项相关。</w:t>
      </w:r>
    </w:p>
    <w:p w14:paraId="113325F2">
      <w:pPr>
        <w:widowControl/>
        <w:ind w:firstLine="640" w:firstLineChars="200"/>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6.</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供应商为自然人的，</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函应由本人签字；</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供应商为法人或者其他组织的，</w:t>
      </w:r>
      <w:r>
        <w:rPr>
          <w:rFonts w:hint="eastAsia" w:ascii="宋体" w:hAnsi="宋体" w:eastAsia="宋体" w:cs="宋体"/>
          <w:color w:val="auto"/>
          <w:sz w:val="32"/>
          <w:szCs w:val="32"/>
          <w:highlight w:val="none"/>
          <w:lang w:eastAsia="zh-CN"/>
        </w:rPr>
        <w:t>质询</w:t>
      </w:r>
      <w:r>
        <w:rPr>
          <w:rFonts w:hint="eastAsia" w:ascii="宋体" w:hAnsi="宋体" w:eastAsia="宋体" w:cs="宋体"/>
          <w:color w:val="auto"/>
          <w:sz w:val="32"/>
          <w:szCs w:val="32"/>
          <w:highlight w:val="none"/>
        </w:rPr>
        <w:t>函应由法定代表人、主要负责人，或者其授权代表签字或者盖章，并加盖公章。</w:t>
      </w:r>
    </w:p>
    <w:p w14:paraId="4AB31C64">
      <w:pPr>
        <w:pStyle w:val="35"/>
        <w:ind w:left="0" w:leftChars="0" w:firstLine="0" w:firstLineChars="0"/>
        <w:rPr>
          <w:rFonts w:hint="eastAsia" w:ascii="宋体" w:hAnsi="宋体" w:eastAsia="宋体" w:cs="宋体"/>
          <w:color w:val="auto"/>
          <w:sz w:val="32"/>
          <w:szCs w:val="32"/>
          <w:highlight w:val="none"/>
          <w:lang w:val="en-US" w:eastAsia="zh-CN"/>
        </w:rPr>
      </w:pPr>
    </w:p>
    <w:p w14:paraId="115A6837">
      <w:pPr>
        <w:pStyle w:val="35"/>
        <w:ind w:left="0" w:leftChars="0" w:firstLine="0" w:firstLineChars="0"/>
        <w:rPr>
          <w:rFonts w:hint="eastAsia" w:ascii="宋体" w:hAnsi="宋体" w:eastAsia="宋体" w:cs="宋体"/>
          <w:color w:val="auto"/>
          <w:sz w:val="32"/>
          <w:szCs w:val="32"/>
          <w:highlight w:val="none"/>
          <w:lang w:val="en-US" w:eastAsia="zh-CN"/>
        </w:rPr>
      </w:pPr>
    </w:p>
    <w:p w14:paraId="7656DED5">
      <w:pPr>
        <w:pStyle w:val="35"/>
        <w:ind w:left="0" w:leftChars="0" w:firstLine="0" w:firstLineChars="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附件8</w:t>
      </w:r>
    </w:p>
    <w:p w14:paraId="73E240CD">
      <w:pPr>
        <w:spacing w:line="560" w:lineRule="exact"/>
        <w:jc w:val="center"/>
        <w:rPr>
          <w:rFonts w:ascii="宋体" w:hAnsi="宋体"/>
          <w:b/>
          <w:color w:val="auto"/>
          <w:sz w:val="28"/>
          <w:szCs w:val="28"/>
          <w:highlight w:val="none"/>
        </w:rPr>
      </w:pPr>
      <w:r>
        <w:rPr>
          <w:rFonts w:hint="eastAsia" w:ascii="宋体" w:hAnsi="宋体"/>
          <w:b/>
          <w:color w:val="auto"/>
          <w:sz w:val="28"/>
          <w:szCs w:val="28"/>
          <w:highlight w:val="none"/>
        </w:rPr>
        <w:t>消防设施设备维保单位工作绩效考核评分表</w:t>
      </w:r>
    </w:p>
    <w:p w14:paraId="70C57CE9">
      <w:pPr>
        <w:spacing w:line="560" w:lineRule="exact"/>
        <w:jc w:val="left"/>
        <w:rPr>
          <w:rFonts w:ascii="宋体" w:hAnsi="宋体"/>
          <w:b/>
          <w:color w:val="auto"/>
          <w:sz w:val="24"/>
          <w:highlight w:val="none"/>
        </w:rPr>
      </w:pPr>
      <w:r>
        <w:rPr>
          <w:rFonts w:hint="eastAsia" w:ascii="宋体" w:hAnsi="宋体"/>
          <w:b/>
          <w:color w:val="auto"/>
          <w:sz w:val="24"/>
          <w:highlight w:val="none"/>
        </w:rPr>
        <w:t>被考评单位：</w:t>
      </w:r>
    </w:p>
    <w:tbl>
      <w:tblPr>
        <w:tblStyle w:val="36"/>
        <w:tblW w:w="9000" w:type="dxa"/>
        <w:tblInd w:w="95" w:type="dxa"/>
        <w:tblLayout w:type="autofit"/>
        <w:tblCellMar>
          <w:top w:w="0" w:type="dxa"/>
          <w:left w:w="108" w:type="dxa"/>
          <w:bottom w:w="0" w:type="dxa"/>
          <w:right w:w="108" w:type="dxa"/>
        </w:tblCellMar>
      </w:tblPr>
      <w:tblGrid>
        <w:gridCol w:w="1474"/>
        <w:gridCol w:w="1361"/>
        <w:gridCol w:w="860"/>
        <w:gridCol w:w="4365"/>
        <w:gridCol w:w="940"/>
      </w:tblGrid>
      <w:tr w14:paraId="22D95607">
        <w:tblPrEx>
          <w:tblCellMar>
            <w:top w:w="0" w:type="dxa"/>
            <w:left w:w="108" w:type="dxa"/>
            <w:bottom w:w="0" w:type="dxa"/>
            <w:right w:w="108" w:type="dxa"/>
          </w:tblCellMar>
        </w:tblPrEx>
        <w:trPr>
          <w:trHeight w:val="495" w:hRule="atLeast"/>
        </w:trPr>
        <w:tc>
          <w:tcPr>
            <w:tcW w:w="1474" w:type="dxa"/>
            <w:tcBorders>
              <w:top w:val="single" w:color="auto" w:sz="4" w:space="0"/>
              <w:left w:val="single" w:color="auto" w:sz="4" w:space="0"/>
              <w:bottom w:val="single" w:color="auto" w:sz="4" w:space="0"/>
              <w:right w:val="single" w:color="auto" w:sz="4" w:space="0"/>
            </w:tcBorders>
            <w:vAlign w:val="center"/>
          </w:tcPr>
          <w:p w14:paraId="140B1B69">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名称类别</w:t>
            </w:r>
          </w:p>
        </w:tc>
        <w:tc>
          <w:tcPr>
            <w:tcW w:w="1361" w:type="dxa"/>
            <w:tcBorders>
              <w:top w:val="single" w:color="auto" w:sz="4" w:space="0"/>
              <w:left w:val="nil"/>
              <w:bottom w:val="single" w:color="auto" w:sz="4" w:space="0"/>
              <w:right w:val="single" w:color="auto" w:sz="4" w:space="0"/>
            </w:tcBorders>
            <w:vAlign w:val="center"/>
          </w:tcPr>
          <w:p w14:paraId="531B39E6">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考核项目</w:t>
            </w:r>
          </w:p>
        </w:tc>
        <w:tc>
          <w:tcPr>
            <w:tcW w:w="860" w:type="dxa"/>
            <w:tcBorders>
              <w:top w:val="single" w:color="auto" w:sz="4" w:space="0"/>
              <w:left w:val="nil"/>
              <w:bottom w:val="single" w:color="auto" w:sz="4" w:space="0"/>
              <w:right w:val="single" w:color="auto" w:sz="4" w:space="0"/>
            </w:tcBorders>
            <w:vAlign w:val="center"/>
          </w:tcPr>
          <w:p w14:paraId="6B661DD7">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分值</w:t>
            </w:r>
          </w:p>
        </w:tc>
        <w:tc>
          <w:tcPr>
            <w:tcW w:w="4365" w:type="dxa"/>
            <w:tcBorders>
              <w:top w:val="single" w:color="auto" w:sz="4" w:space="0"/>
              <w:left w:val="nil"/>
              <w:bottom w:val="single" w:color="auto" w:sz="4" w:space="0"/>
              <w:right w:val="single" w:color="auto" w:sz="4" w:space="0"/>
            </w:tcBorders>
            <w:vAlign w:val="center"/>
          </w:tcPr>
          <w:p w14:paraId="35A67DD1">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考核标准</w:t>
            </w:r>
          </w:p>
        </w:tc>
        <w:tc>
          <w:tcPr>
            <w:tcW w:w="940" w:type="dxa"/>
            <w:tcBorders>
              <w:top w:val="single" w:color="auto" w:sz="4" w:space="0"/>
              <w:left w:val="nil"/>
              <w:bottom w:val="single" w:color="auto" w:sz="4" w:space="0"/>
              <w:right w:val="single" w:color="auto" w:sz="4" w:space="0"/>
            </w:tcBorders>
            <w:vAlign w:val="center"/>
          </w:tcPr>
          <w:p w14:paraId="72D1375B">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得分</w:t>
            </w:r>
          </w:p>
        </w:tc>
      </w:tr>
      <w:tr w14:paraId="68F57BE1">
        <w:tblPrEx>
          <w:tblCellMar>
            <w:top w:w="0" w:type="dxa"/>
            <w:left w:w="108" w:type="dxa"/>
            <w:bottom w:w="0" w:type="dxa"/>
            <w:right w:w="108" w:type="dxa"/>
          </w:tblCellMar>
        </w:tblPrEx>
        <w:trPr>
          <w:trHeight w:val="798" w:hRule="atLeast"/>
        </w:trPr>
        <w:tc>
          <w:tcPr>
            <w:tcW w:w="1474" w:type="dxa"/>
            <w:vMerge w:val="restart"/>
            <w:tcBorders>
              <w:top w:val="nil"/>
              <w:left w:val="single" w:color="auto" w:sz="4" w:space="0"/>
              <w:bottom w:val="single" w:color="auto" w:sz="4" w:space="0"/>
              <w:right w:val="single" w:color="auto" w:sz="4" w:space="0"/>
            </w:tcBorders>
            <w:vAlign w:val="center"/>
          </w:tcPr>
          <w:p w14:paraId="3A3658BD">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维保项目</w:t>
            </w:r>
          </w:p>
          <w:p w14:paraId="1F67BEF4">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完成情况</w:t>
            </w:r>
          </w:p>
        </w:tc>
        <w:tc>
          <w:tcPr>
            <w:tcW w:w="1361" w:type="dxa"/>
            <w:tcBorders>
              <w:top w:val="nil"/>
              <w:left w:val="nil"/>
              <w:bottom w:val="single" w:color="auto" w:sz="4" w:space="0"/>
              <w:right w:val="single" w:color="auto" w:sz="4" w:space="0"/>
            </w:tcBorders>
            <w:vAlign w:val="center"/>
          </w:tcPr>
          <w:p w14:paraId="5DDA3F3B">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完成项目</w:t>
            </w:r>
          </w:p>
        </w:tc>
        <w:tc>
          <w:tcPr>
            <w:tcW w:w="860" w:type="dxa"/>
            <w:tcBorders>
              <w:top w:val="nil"/>
              <w:left w:val="nil"/>
              <w:bottom w:val="nil"/>
              <w:right w:val="single" w:color="auto" w:sz="4" w:space="0"/>
            </w:tcBorders>
            <w:vAlign w:val="center"/>
          </w:tcPr>
          <w:p w14:paraId="1861B7E6">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20</w:t>
            </w:r>
          </w:p>
        </w:tc>
        <w:tc>
          <w:tcPr>
            <w:tcW w:w="4365" w:type="dxa"/>
            <w:tcBorders>
              <w:top w:val="nil"/>
              <w:left w:val="nil"/>
              <w:bottom w:val="single" w:color="auto" w:sz="4" w:space="0"/>
              <w:right w:val="single" w:color="auto" w:sz="4" w:space="0"/>
            </w:tcBorders>
            <w:vAlign w:val="center"/>
          </w:tcPr>
          <w:p w14:paraId="65FCAB28">
            <w:pPr>
              <w:widowControl/>
              <w:adjustRightInd w:val="0"/>
              <w:snapToGrid w:val="0"/>
              <w:spacing w:line="500" w:lineRule="exact"/>
              <w:jc w:val="left"/>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是否按</w:t>
            </w:r>
            <w:r>
              <w:rPr>
                <w:rFonts w:hint="eastAsia" w:ascii="宋体" w:hAnsi="宋体" w:cs="宋体"/>
                <w:color w:val="auto"/>
                <w:kern w:val="0"/>
                <w:szCs w:val="21"/>
                <w:highlight w:val="none"/>
              </w:rPr>
              <w:t>照维保合同和</w:t>
            </w:r>
            <w:r>
              <w:rPr>
                <w:rFonts w:hint="eastAsia" w:ascii="宋体" w:hAnsi="宋体" w:cs="宋体"/>
                <w:color w:val="auto"/>
                <w:kern w:val="0"/>
                <w:szCs w:val="21"/>
                <w:highlight w:val="none"/>
                <w:lang w:eastAsia="zh-CN"/>
              </w:rPr>
              <w:t>业主单位的</w:t>
            </w:r>
            <w:r>
              <w:rPr>
                <w:rFonts w:hint="eastAsia" w:ascii="宋体" w:hAnsi="宋体" w:cs="宋体"/>
                <w:color w:val="auto"/>
                <w:kern w:val="0"/>
                <w:szCs w:val="21"/>
                <w:highlight w:val="none"/>
              </w:rPr>
              <w:t xml:space="preserve">消防工作计划完成日、周、月、季维保项目。     </w:t>
            </w:r>
          </w:p>
        </w:tc>
        <w:tc>
          <w:tcPr>
            <w:tcW w:w="940" w:type="dxa"/>
            <w:tcBorders>
              <w:top w:val="nil"/>
              <w:left w:val="nil"/>
              <w:bottom w:val="single" w:color="auto" w:sz="4" w:space="0"/>
              <w:right w:val="single" w:color="auto" w:sz="4" w:space="0"/>
            </w:tcBorders>
            <w:vAlign w:val="center"/>
          </w:tcPr>
          <w:p w14:paraId="587F4C5A">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0B15A487">
        <w:tblPrEx>
          <w:tblCellMar>
            <w:top w:w="0" w:type="dxa"/>
            <w:left w:w="108" w:type="dxa"/>
            <w:bottom w:w="0" w:type="dxa"/>
            <w:right w:w="108" w:type="dxa"/>
          </w:tblCellMar>
        </w:tblPrEx>
        <w:trPr>
          <w:trHeight w:val="1455" w:hRule="atLeast"/>
        </w:trPr>
        <w:tc>
          <w:tcPr>
            <w:tcW w:w="1474" w:type="dxa"/>
            <w:vMerge w:val="continue"/>
            <w:tcBorders>
              <w:top w:val="nil"/>
              <w:left w:val="single" w:color="auto" w:sz="4" w:space="0"/>
              <w:bottom w:val="single" w:color="auto" w:sz="4" w:space="0"/>
              <w:right w:val="single" w:color="auto" w:sz="4" w:space="0"/>
            </w:tcBorders>
            <w:vAlign w:val="center"/>
          </w:tcPr>
          <w:p w14:paraId="4C945626">
            <w:pPr>
              <w:widowControl/>
              <w:spacing w:line="560" w:lineRule="exact"/>
              <w:jc w:val="left"/>
              <w:rPr>
                <w:rFonts w:ascii="宋体" w:hAnsi="宋体" w:cs="宋体"/>
                <w:color w:val="auto"/>
                <w:kern w:val="0"/>
                <w:szCs w:val="21"/>
                <w:highlight w:val="none"/>
              </w:rPr>
            </w:pPr>
          </w:p>
        </w:tc>
        <w:tc>
          <w:tcPr>
            <w:tcW w:w="1361" w:type="dxa"/>
            <w:tcBorders>
              <w:top w:val="nil"/>
              <w:left w:val="nil"/>
              <w:bottom w:val="single" w:color="auto" w:sz="4" w:space="0"/>
              <w:right w:val="single" w:color="auto" w:sz="4" w:space="0"/>
            </w:tcBorders>
            <w:vAlign w:val="center"/>
          </w:tcPr>
          <w:p w14:paraId="6CBD4343">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完成质量</w:t>
            </w:r>
          </w:p>
        </w:tc>
        <w:tc>
          <w:tcPr>
            <w:tcW w:w="860" w:type="dxa"/>
            <w:tcBorders>
              <w:top w:val="single" w:color="auto" w:sz="4" w:space="0"/>
              <w:left w:val="nil"/>
              <w:bottom w:val="single" w:color="auto" w:sz="4" w:space="0"/>
              <w:right w:val="single" w:color="auto" w:sz="4" w:space="0"/>
            </w:tcBorders>
            <w:vAlign w:val="center"/>
          </w:tcPr>
          <w:p w14:paraId="139FEAA6">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30</w:t>
            </w:r>
          </w:p>
        </w:tc>
        <w:tc>
          <w:tcPr>
            <w:tcW w:w="4365" w:type="dxa"/>
            <w:tcBorders>
              <w:top w:val="nil"/>
              <w:left w:val="nil"/>
              <w:bottom w:val="single" w:color="auto" w:sz="4" w:space="0"/>
              <w:right w:val="single" w:color="auto" w:sz="4" w:space="0"/>
            </w:tcBorders>
            <w:vAlign w:val="center"/>
          </w:tcPr>
          <w:p w14:paraId="494096F9">
            <w:pPr>
              <w:widowControl/>
              <w:adjustRightInd w:val="0"/>
              <w:snapToGrid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1.设备运行是否良好，</w:t>
            </w:r>
            <w:r>
              <w:rPr>
                <w:rFonts w:hint="eastAsia" w:ascii="宋体" w:hAnsi="宋体" w:cs="宋体"/>
                <w:color w:val="auto"/>
                <w:kern w:val="0"/>
                <w:szCs w:val="21"/>
                <w:highlight w:val="none"/>
                <w:lang w:val="en-US" w:eastAsia="zh-CN"/>
              </w:rPr>
              <w:t>是否出现</w:t>
            </w:r>
            <w:r>
              <w:rPr>
                <w:rFonts w:hint="eastAsia" w:ascii="宋体" w:hAnsi="宋体" w:cs="宋体"/>
                <w:color w:val="auto"/>
                <w:kern w:val="0"/>
                <w:szCs w:val="21"/>
                <w:highlight w:val="none"/>
              </w:rPr>
              <w:t>维保不到位致使设备出现故障的。                                   2.设施设备是否按规定保养；是否存在锈蚀的情况；测试时候运行不正常等。</w:t>
            </w:r>
          </w:p>
        </w:tc>
        <w:tc>
          <w:tcPr>
            <w:tcW w:w="940" w:type="dxa"/>
            <w:tcBorders>
              <w:top w:val="nil"/>
              <w:left w:val="nil"/>
              <w:bottom w:val="single" w:color="auto" w:sz="4" w:space="0"/>
              <w:right w:val="single" w:color="auto" w:sz="4" w:space="0"/>
            </w:tcBorders>
            <w:vAlign w:val="center"/>
          </w:tcPr>
          <w:p w14:paraId="7DAE5D14">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r w14:paraId="32F3E526">
        <w:tblPrEx>
          <w:tblCellMar>
            <w:top w:w="0" w:type="dxa"/>
            <w:left w:w="108" w:type="dxa"/>
            <w:bottom w:w="0" w:type="dxa"/>
            <w:right w:w="108" w:type="dxa"/>
          </w:tblCellMar>
        </w:tblPrEx>
        <w:trPr>
          <w:trHeight w:val="3761" w:hRule="atLeast"/>
        </w:trPr>
        <w:tc>
          <w:tcPr>
            <w:tcW w:w="1474" w:type="dxa"/>
            <w:vMerge w:val="continue"/>
            <w:tcBorders>
              <w:top w:val="nil"/>
              <w:left w:val="single" w:color="auto" w:sz="4" w:space="0"/>
              <w:bottom w:val="single" w:color="auto" w:sz="4" w:space="0"/>
              <w:right w:val="single" w:color="auto" w:sz="4" w:space="0"/>
            </w:tcBorders>
            <w:vAlign w:val="center"/>
          </w:tcPr>
          <w:p w14:paraId="0842C9E6">
            <w:pPr>
              <w:widowControl/>
              <w:spacing w:line="560" w:lineRule="exact"/>
              <w:jc w:val="left"/>
              <w:rPr>
                <w:rFonts w:ascii="宋体" w:hAnsi="宋体" w:cs="宋体"/>
                <w:color w:val="auto"/>
                <w:kern w:val="0"/>
                <w:szCs w:val="21"/>
                <w:highlight w:val="none"/>
              </w:rPr>
            </w:pPr>
          </w:p>
        </w:tc>
        <w:tc>
          <w:tcPr>
            <w:tcW w:w="1361" w:type="dxa"/>
            <w:tcBorders>
              <w:top w:val="nil"/>
              <w:left w:val="nil"/>
              <w:bottom w:val="single" w:color="auto" w:sz="4" w:space="0"/>
              <w:right w:val="single" w:color="auto" w:sz="4" w:space="0"/>
            </w:tcBorders>
            <w:vAlign w:val="center"/>
          </w:tcPr>
          <w:p w14:paraId="5F33E717">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记录台帐</w:t>
            </w:r>
          </w:p>
        </w:tc>
        <w:tc>
          <w:tcPr>
            <w:tcW w:w="860" w:type="dxa"/>
            <w:tcBorders>
              <w:top w:val="nil"/>
              <w:left w:val="nil"/>
              <w:bottom w:val="single" w:color="auto" w:sz="4" w:space="0"/>
              <w:right w:val="single" w:color="auto" w:sz="4" w:space="0"/>
            </w:tcBorders>
            <w:vAlign w:val="center"/>
          </w:tcPr>
          <w:p w14:paraId="6A9D2858">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4365" w:type="dxa"/>
            <w:tcBorders>
              <w:top w:val="nil"/>
              <w:left w:val="nil"/>
              <w:bottom w:val="single" w:color="auto" w:sz="4" w:space="0"/>
              <w:right w:val="single" w:color="auto" w:sz="4" w:space="0"/>
            </w:tcBorders>
            <w:vAlign w:val="center"/>
          </w:tcPr>
          <w:p w14:paraId="7B7927F5">
            <w:pPr>
              <w:widowControl/>
              <w:numPr>
                <w:ilvl w:val="0"/>
                <w:numId w:val="2"/>
              </w:numPr>
              <w:adjustRightInd w:val="0"/>
              <w:snapToGrid w:val="0"/>
              <w:spacing w:line="52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是否能按</w:t>
            </w:r>
            <w:r>
              <w:rPr>
                <w:rFonts w:hint="eastAsia" w:ascii="宋体" w:hAnsi="宋体" w:cs="宋体"/>
                <w:color w:val="auto"/>
                <w:kern w:val="0"/>
                <w:szCs w:val="21"/>
                <w:highlight w:val="none"/>
                <w:lang w:eastAsia="zh-CN"/>
              </w:rPr>
              <w:t>业主单位的</w:t>
            </w:r>
            <w:r>
              <w:rPr>
                <w:rFonts w:hint="eastAsia" w:ascii="宋体" w:hAnsi="宋体" w:cs="宋体"/>
                <w:color w:val="auto"/>
                <w:kern w:val="0"/>
                <w:szCs w:val="21"/>
                <w:highlight w:val="none"/>
              </w:rPr>
              <w:t>要求完成合同维修和保养项目，按时出具维修、维保报告</w:t>
            </w:r>
          </w:p>
          <w:p w14:paraId="2D73F35F">
            <w:pPr>
              <w:widowControl/>
              <w:numPr>
                <w:ilvl w:val="0"/>
                <w:numId w:val="2"/>
              </w:numPr>
              <w:adjustRightInd w:val="0"/>
              <w:snapToGrid w:val="0"/>
              <w:spacing w:line="520"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维修更换确认单是否有</w:t>
            </w:r>
            <w:r>
              <w:rPr>
                <w:rFonts w:hint="eastAsia" w:ascii="宋体" w:hAnsi="宋体" w:cs="宋体"/>
                <w:color w:val="auto"/>
                <w:kern w:val="0"/>
                <w:szCs w:val="21"/>
                <w:highlight w:val="none"/>
                <w:lang w:eastAsia="zh-CN"/>
              </w:rPr>
              <w:t>业主单位相关人员</w:t>
            </w:r>
            <w:r>
              <w:rPr>
                <w:rFonts w:hint="eastAsia" w:ascii="宋体" w:hAnsi="宋体" w:cs="宋体"/>
                <w:color w:val="auto"/>
                <w:kern w:val="0"/>
                <w:szCs w:val="21"/>
                <w:highlight w:val="none"/>
              </w:rPr>
              <w:t>、维保单位项目负责人和现场维保相关人员确认并签字，并留存备案。</w:t>
            </w:r>
          </w:p>
        </w:tc>
        <w:tc>
          <w:tcPr>
            <w:tcW w:w="940" w:type="dxa"/>
            <w:tcBorders>
              <w:top w:val="nil"/>
              <w:left w:val="nil"/>
              <w:bottom w:val="single" w:color="auto" w:sz="4" w:space="0"/>
              <w:right w:val="single" w:color="auto" w:sz="4" w:space="0"/>
            </w:tcBorders>
            <w:vAlign w:val="center"/>
          </w:tcPr>
          <w:p w14:paraId="67004132">
            <w:pPr>
              <w:widowControl/>
              <w:spacing w:line="5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r>
    </w:tbl>
    <w:tbl>
      <w:tblPr>
        <w:tblStyle w:val="37"/>
        <w:tblW w:w="9038" w:type="dxa"/>
        <w:tblInd w:w="8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00"/>
        <w:gridCol w:w="1338"/>
        <w:gridCol w:w="862"/>
        <w:gridCol w:w="4408"/>
        <w:gridCol w:w="930"/>
      </w:tblGrid>
      <w:tr w14:paraId="34E430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trPr>
        <w:tc>
          <w:tcPr>
            <w:tcW w:w="1500" w:type="dxa"/>
            <w:vMerge w:val="restart"/>
            <w:vAlign w:val="center"/>
          </w:tcPr>
          <w:p w14:paraId="3FD46538">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突发故障</w:t>
            </w:r>
          </w:p>
          <w:p w14:paraId="7C851ABD">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处理响应</w:t>
            </w:r>
          </w:p>
        </w:tc>
        <w:tc>
          <w:tcPr>
            <w:tcW w:w="1338" w:type="dxa"/>
            <w:vAlign w:val="center"/>
          </w:tcPr>
          <w:p w14:paraId="34F945DE">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响应及时</w:t>
            </w:r>
          </w:p>
        </w:tc>
        <w:tc>
          <w:tcPr>
            <w:tcW w:w="862" w:type="dxa"/>
            <w:tcBorders>
              <w:right w:val="single" w:color="auto" w:sz="4" w:space="0"/>
            </w:tcBorders>
            <w:vAlign w:val="center"/>
          </w:tcPr>
          <w:p w14:paraId="204AF9ED">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4408" w:type="dxa"/>
            <w:tcBorders>
              <w:left w:val="single" w:color="auto" w:sz="4" w:space="0"/>
            </w:tcBorders>
            <w:vAlign w:val="center"/>
          </w:tcPr>
          <w:p w14:paraId="30C697EC">
            <w:pPr>
              <w:spacing w:line="340" w:lineRule="exact"/>
              <w:jc w:val="both"/>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1.是否</w:t>
            </w:r>
            <w:r>
              <w:rPr>
                <w:rFonts w:hint="eastAsia" w:ascii="宋体" w:hAnsi="宋体" w:cs="宋体"/>
                <w:color w:val="auto"/>
                <w:kern w:val="0"/>
                <w:sz w:val="21"/>
                <w:szCs w:val="21"/>
                <w:highlight w:val="none"/>
              </w:rPr>
              <w:t>按合同承诺时间巡查</w:t>
            </w:r>
          </w:p>
        </w:tc>
        <w:tc>
          <w:tcPr>
            <w:tcW w:w="930" w:type="dxa"/>
            <w:vAlign w:val="center"/>
          </w:tcPr>
          <w:p w14:paraId="611BE58B">
            <w:pPr>
              <w:spacing w:line="340" w:lineRule="exact"/>
              <w:jc w:val="center"/>
              <w:rPr>
                <w:rFonts w:ascii="宋体" w:hAnsi="宋体" w:cs="宋体"/>
                <w:color w:val="auto"/>
                <w:kern w:val="0"/>
                <w:sz w:val="21"/>
                <w:szCs w:val="21"/>
                <w:highlight w:val="none"/>
              </w:rPr>
            </w:pPr>
          </w:p>
        </w:tc>
      </w:tr>
      <w:tr w14:paraId="2BC65B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 w:hRule="atLeast"/>
        </w:trPr>
        <w:tc>
          <w:tcPr>
            <w:tcW w:w="1500" w:type="dxa"/>
            <w:vMerge w:val="continue"/>
            <w:vAlign w:val="center"/>
          </w:tcPr>
          <w:p w14:paraId="2BB91A49">
            <w:pPr>
              <w:spacing w:line="340" w:lineRule="exact"/>
              <w:jc w:val="center"/>
              <w:rPr>
                <w:rFonts w:ascii="宋体" w:hAnsi="宋体" w:cs="宋体"/>
                <w:color w:val="auto"/>
                <w:kern w:val="0"/>
                <w:sz w:val="21"/>
                <w:szCs w:val="21"/>
                <w:highlight w:val="none"/>
              </w:rPr>
            </w:pPr>
          </w:p>
        </w:tc>
        <w:tc>
          <w:tcPr>
            <w:tcW w:w="1338" w:type="dxa"/>
            <w:vAlign w:val="center"/>
          </w:tcPr>
          <w:p w14:paraId="31A9D88E">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措施得当</w:t>
            </w:r>
          </w:p>
        </w:tc>
        <w:tc>
          <w:tcPr>
            <w:tcW w:w="862" w:type="dxa"/>
            <w:tcBorders>
              <w:right w:val="single" w:color="auto" w:sz="4" w:space="0"/>
            </w:tcBorders>
            <w:vAlign w:val="center"/>
          </w:tcPr>
          <w:p w14:paraId="6C83A101">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10</w:t>
            </w:r>
          </w:p>
        </w:tc>
        <w:tc>
          <w:tcPr>
            <w:tcW w:w="4408" w:type="dxa"/>
            <w:tcBorders>
              <w:left w:val="single" w:color="auto" w:sz="4" w:space="0"/>
            </w:tcBorders>
            <w:vAlign w:val="center"/>
          </w:tcPr>
          <w:p w14:paraId="1BF907C8">
            <w:pPr>
              <w:spacing w:line="34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2.是否</w:t>
            </w:r>
            <w:r>
              <w:rPr>
                <w:rFonts w:hint="eastAsia" w:ascii="宋体" w:hAnsi="宋体" w:cs="宋体"/>
                <w:color w:val="auto"/>
                <w:kern w:val="0"/>
                <w:sz w:val="21"/>
                <w:szCs w:val="21"/>
                <w:highlight w:val="none"/>
              </w:rPr>
              <w:t>能及时排除故障。</w:t>
            </w:r>
          </w:p>
        </w:tc>
        <w:tc>
          <w:tcPr>
            <w:tcW w:w="930" w:type="dxa"/>
            <w:vAlign w:val="center"/>
          </w:tcPr>
          <w:p w14:paraId="3721F26A">
            <w:pPr>
              <w:spacing w:line="340" w:lineRule="exact"/>
              <w:jc w:val="center"/>
              <w:rPr>
                <w:rFonts w:ascii="宋体" w:hAnsi="宋体" w:cs="宋体"/>
                <w:color w:val="auto"/>
                <w:kern w:val="0"/>
                <w:sz w:val="21"/>
                <w:szCs w:val="21"/>
                <w:highlight w:val="none"/>
              </w:rPr>
            </w:pPr>
          </w:p>
        </w:tc>
      </w:tr>
      <w:tr w14:paraId="05B7511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9" w:hRule="atLeast"/>
        </w:trPr>
        <w:tc>
          <w:tcPr>
            <w:tcW w:w="1500" w:type="dxa"/>
            <w:vMerge w:val="restart"/>
            <w:vAlign w:val="center"/>
          </w:tcPr>
          <w:p w14:paraId="23C876C0">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遵守有关</w:t>
            </w:r>
          </w:p>
          <w:p w14:paraId="390339C4">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管理规定</w:t>
            </w:r>
          </w:p>
        </w:tc>
        <w:tc>
          <w:tcPr>
            <w:tcW w:w="1338" w:type="dxa"/>
            <w:vAlign w:val="center"/>
          </w:tcPr>
          <w:p w14:paraId="5D0F2BC3">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持证上岗</w:t>
            </w:r>
          </w:p>
        </w:tc>
        <w:tc>
          <w:tcPr>
            <w:tcW w:w="862" w:type="dxa"/>
            <w:tcBorders>
              <w:right w:val="single" w:color="auto" w:sz="4" w:space="0"/>
            </w:tcBorders>
            <w:vAlign w:val="center"/>
          </w:tcPr>
          <w:p w14:paraId="58B8CBEC">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4408" w:type="dxa"/>
            <w:tcBorders>
              <w:left w:val="single" w:color="auto" w:sz="4" w:space="0"/>
            </w:tcBorders>
            <w:vAlign w:val="center"/>
          </w:tcPr>
          <w:p w14:paraId="3F7D1EB6">
            <w:pPr>
              <w:spacing w:line="340" w:lineRule="exact"/>
              <w:jc w:val="both"/>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1.是否</w:t>
            </w:r>
            <w:r>
              <w:rPr>
                <w:rFonts w:hint="eastAsia" w:ascii="宋体" w:hAnsi="宋体" w:cs="宋体"/>
                <w:color w:val="auto"/>
                <w:kern w:val="0"/>
                <w:sz w:val="21"/>
                <w:szCs w:val="21"/>
                <w:highlight w:val="none"/>
              </w:rPr>
              <w:t>有擅自更换已向</w:t>
            </w:r>
            <w:r>
              <w:rPr>
                <w:rFonts w:hint="eastAsia" w:ascii="宋体" w:hAnsi="宋体" w:cs="宋体"/>
                <w:color w:val="auto"/>
                <w:kern w:val="0"/>
                <w:szCs w:val="21"/>
                <w:highlight w:val="none"/>
                <w:lang w:eastAsia="zh-CN"/>
              </w:rPr>
              <w:t>业主单位</w:t>
            </w:r>
            <w:r>
              <w:rPr>
                <w:rFonts w:hint="eastAsia" w:ascii="宋体" w:hAnsi="宋体" w:cs="宋体"/>
                <w:color w:val="auto"/>
                <w:kern w:val="0"/>
                <w:sz w:val="21"/>
                <w:szCs w:val="21"/>
                <w:highlight w:val="none"/>
              </w:rPr>
              <w:t>备案的消防检测人员</w:t>
            </w:r>
          </w:p>
        </w:tc>
        <w:tc>
          <w:tcPr>
            <w:tcW w:w="930" w:type="dxa"/>
            <w:vAlign w:val="center"/>
          </w:tcPr>
          <w:p w14:paraId="62C775D8">
            <w:pPr>
              <w:spacing w:line="340" w:lineRule="exact"/>
              <w:jc w:val="center"/>
              <w:rPr>
                <w:rFonts w:ascii="宋体" w:hAnsi="宋体" w:cs="宋体"/>
                <w:color w:val="auto"/>
                <w:kern w:val="0"/>
                <w:sz w:val="21"/>
                <w:szCs w:val="21"/>
                <w:highlight w:val="none"/>
              </w:rPr>
            </w:pPr>
          </w:p>
        </w:tc>
      </w:tr>
      <w:tr w14:paraId="6F45A0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 w:hRule="atLeast"/>
        </w:trPr>
        <w:tc>
          <w:tcPr>
            <w:tcW w:w="1500" w:type="dxa"/>
            <w:vMerge w:val="continue"/>
            <w:vAlign w:val="center"/>
          </w:tcPr>
          <w:p w14:paraId="6B77D8AC">
            <w:pPr>
              <w:spacing w:line="340" w:lineRule="exact"/>
              <w:jc w:val="center"/>
              <w:rPr>
                <w:rFonts w:ascii="宋体" w:hAnsi="宋体" w:cs="宋体"/>
                <w:color w:val="auto"/>
                <w:kern w:val="0"/>
                <w:sz w:val="21"/>
                <w:szCs w:val="21"/>
                <w:highlight w:val="none"/>
              </w:rPr>
            </w:pPr>
          </w:p>
        </w:tc>
        <w:tc>
          <w:tcPr>
            <w:tcW w:w="1338" w:type="dxa"/>
            <w:vAlign w:val="center"/>
          </w:tcPr>
          <w:p w14:paraId="23F318D1">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服务规范</w:t>
            </w:r>
          </w:p>
        </w:tc>
        <w:tc>
          <w:tcPr>
            <w:tcW w:w="862" w:type="dxa"/>
            <w:tcBorders>
              <w:right w:val="single" w:color="auto" w:sz="4" w:space="0"/>
            </w:tcBorders>
            <w:vAlign w:val="center"/>
          </w:tcPr>
          <w:p w14:paraId="30BAB151">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4408" w:type="dxa"/>
            <w:tcBorders>
              <w:left w:val="single" w:color="auto" w:sz="4" w:space="0"/>
            </w:tcBorders>
            <w:vAlign w:val="center"/>
          </w:tcPr>
          <w:p w14:paraId="16D7AD15">
            <w:pPr>
              <w:spacing w:line="340" w:lineRule="exact"/>
              <w:jc w:val="both"/>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1.是否</w:t>
            </w:r>
            <w:r>
              <w:rPr>
                <w:rFonts w:hint="eastAsia" w:ascii="宋体" w:hAnsi="宋体" w:cs="宋体"/>
                <w:color w:val="auto"/>
                <w:kern w:val="0"/>
                <w:sz w:val="21"/>
                <w:szCs w:val="21"/>
                <w:highlight w:val="none"/>
              </w:rPr>
              <w:t>按要求持证上岗</w:t>
            </w:r>
          </w:p>
        </w:tc>
        <w:tc>
          <w:tcPr>
            <w:tcW w:w="930" w:type="dxa"/>
            <w:vAlign w:val="center"/>
          </w:tcPr>
          <w:p w14:paraId="7621BD6C">
            <w:pPr>
              <w:spacing w:line="340" w:lineRule="exact"/>
              <w:jc w:val="center"/>
              <w:rPr>
                <w:rFonts w:ascii="宋体" w:hAnsi="宋体" w:cs="宋体"/>
                <w:color w:val="auto"/>
                <w:kern w:val="0"/>
                <w:sz w:val="21"/>
                <w:szCs w:val="21"/>
                <w:highlight w:val="none"/>
              </w:rPr>
            </w:pPr>
          </w:p>
        </w:tc>
      </w:tr>
      <w:tr w14:paraId="7A2E81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9" w:hRule="atLeast"/>
        </w:trPr>
        <w:tc>
          <w:tcPr>
            <w:tcW w:w="1500" w:type="dxa"/>
            <w:vMerge w:val="continue"/>
            <w:vAlign w:val="center"/>
          </w:tcPr>
          <w:p w14:paraId="087A42BA">
            <w:pPr>
              <w:spacing w:line="340" w:lineRule="exact"/>
              <w:jc w:val="center"/>
              <w:rPr>
                <w:rFonts w:ascii="宋体" w:hAnsi="宋体" w:cs="宋体"/>
                <w:color w:val="auto"/>
                <w:kern w:val="0"/>
                <w:sz w:val="21"/>
                <w:szCs w:val="21"/>
                <w:highlight w:val="none"/>
              </w:rPr>
            </w:pPr>
          </w:p>
        </w:tc>
        <w:tc>
          <w:tcPr>
            <w:tcW w:w="1338" w:type="dxa"/>
            <w:vAlign w:val="center"/>
          </w:tcPr>
          <w:p w14:paraId="4253B871">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操作规范</w:t>
            </w:r>
          </w:p>
        </w:tc>
        <w:tc>
          <w:tcPr>
            <w:tcW w:w="862" w:type="dxa"/>
            <w:tcBorders>
              <w:right w:val="single" w:color="auto" w:sz="4" w:space="0"/>
            </w:tcBorders>
            <w:vAlign w:val="center"/>
          </w:tcPr>
          <w:p w14:paraId="15D3BBED">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4408" w:type="dxa"/>
            <w:tcBorders>
              <w:left w:val="single" w:color="auto" w:sz="4" w:space="0"/>
            </w:tcBorders>
            <w:vAlign w:val="center"/>
          </w:tcPr>
          <w:p w14:paraId="60A58C18">
            <w:pPr>
              <w:spacing w:line="340" w:lineRule="exact"/>
              <w:jc w:val="left"/>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1.是否</w:t>
            </w:r>
            <w:r>
              <w:rPr>
                <w:rFonts w:hint="eastAsia" w:ascii="宋体" w:hAnsi="宋体" w:cs="宋体"/>
                <w:color w:val="auto"/>
                <w:kern w:val="0"/>
                <w:sz w:val="21"/>
                <w:szCs w:val="21"/>
                <w:highlight w:val="none"/>
              </w:rPr>
              <w:t>按操作规范要求野蛮施工、登高维修安全措施</w:t>
            </w:r>
            <w:r>
              <w:rPr>
                <w:rFonts w:hint="eastAsia" w:ascii="宋体" w:hAnsi="宋体" w:cs="宋体"/>
                <w:color w:val="auto"/>
                <w:kern w:val="0"/>
                <w:sz w:val="21"/>
                <w:szCs w:val="21"/>
                <w:highlight w:val="none"/>
                <w:lang w:val="en-US" w:eastAsia="zh-CN"/>
              </w:rPr>
              <w:t>是否到位</w:t>
            </w:r>
          </w:p>
        </w:tc>
        <w:tc>
          <w:tcPr>
            <w:tcW w:w="930" w:type="dxa"/>
            <w:vAlign w:val="center"/>
          </w:tcPr>
          <w:p w14:paraId="6C7A9410">
            <w:pPr>
              <w:spacing w:line="340" w:lineRule="exact"/>
              <w:jc w:val="center"/>
              <w:rPr>
                <w:rFonts w:ascii="宋体" w:hAnsi="宋体" w:cs="宋体"/>
                <w:color w:val="auto"/>
                <w:kern w:val="0"/>
                <w:sz w:val="21"/>
                <w:szCs w:val="21"/>
                <w:highlight w:val="none"/>
              </w:rPr>
            </w:pPr>
          </w:p>
        </w:tc>
      </w:tr>
      <w:tr w14:paraId="0A55D2D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78" w:hRule="atLeast"/>
        </w:trPr>
        <w:tc>
          <w:tcPr>
            <w:tcW w:w="1500" w:type="dxa"/>
            <w:vMerge w:val="continue"/>
            <w:vAlign w:val="center"/>
          </w:tcPr>
          <w:p w14:paraId="5FBA66D2">
            <w:pPr>
              <w:spacing w:line="340" w:lineRule="exact"/>
              <w:jc w:val="center"/>
              <w:rPr>
                <w:rFonts w:ascii="宋体" w:hAnsi="宋体" w:cs="宋体"/>
                <w:color w:val="auto"/>
                <w:kern w:val="0"/>
                <w:sz w:val="21"/>
                <w:szCs w:val="21"/>
                <w:highlight w:val="none"/>
              </w:rPr>
            </w:pPr>
          </w:p>
        </w:tc>
        <w:tc>
          <w:tcPr>
            <w:tcW w:w="1338" w:type="dxa"/>
            <w:vAlign w:val="center"/>
          </w:tcPr>
          <w:p w14:paraId="648567B5">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服从管理</w:t>
            </w:r>
          </w:p>
        </w:tc>
        <w:tc>
          <w:tcPr>
            <w:tcW w:w="862" w:type="dxa"/>
            <w:tcBorders>
              <w:right w:val="single" w:color="auto" w:sz="4" w:space="0"/>
            </w:tcBorders>
            <w:vAlign w:val="center"/>
          </w:tcPr>
          <w:p w14:paraId="3621D6A7">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5</w:t>
            </w:r>
          </w:p>
        </w:tc>
        <w:tc>
          <w:tcPr>
            <w:tcW w:w="4408" w:type="dxa"/>
            <w:tcBorders>
              <w:left w:val="single" w:color="auto" w:sz="4" w:space="0"/>
            </w:tcBorders>
            <w:vAlign w:val="center"/>
          </w:tcPr>
          <w:p w14:paraId="76AFA85B">
            <w:pPr>
              <w:spacing w:line="340" w:lineRule="exact"/>
              <w:jc w:val="both"/>
              <w:rPr>
                <w:rFonts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1.是否</w:t>
            </w:r>
            <w:r>
              <w:rPr>
                <w:rFonts w:hint="eastAsia" w:ascii="宋体" w:hAnsi="宋体" w:cs="宋体"/>
                <w:color w:val="auto"/>
                <w:kern w:val="0"/>
                <w:sz w:val="21"/>
                <w:szCs w:val="21"/>
                <w:highlight w:val="none"/>
              </w:rPr>
              <w:t>服从</w:t>
            </w:r>
            <w:r>
              <w:rPr>
                <w:rFonts w:hint="eastAsia" w:ascii="宋体" w:hAnsi="宋体" w:cs="宋体"/>
                <w:color w:val="auto"/>
                <w:kern w:val="0"/>
                <w:szCs w:val="21"/>
                <w:highlight w:val="none"/>
                <w:lang w:eastAsia="zh-CN"/>
              </w:rPr>
              <w:t>业主单位</w:t>
            </w:r>
            <w:r>
              <w:rPr>
                <w:rFonts w:hint="eastAsia" w:ascii="宋体" w:hAnsi="宋体" w:cs="宋体"/>
                <w:color w:val="auto"/>
                <w:kern w:val="0"/>
                <w:sz w:val="21"/>
                <w:szCs w:val="21"/>
                <w:highlight w:val="none"/>
              </w:rPr>
              <w:t>管理和存在违反</w:t>
            </w:r>
            <w:r>
              <w:rPr>
                <w:rFonts w:hint="eastAsia" w:ascii="宋体" w:hAnsi="宋体" w:cs="宋体"/>
                <w:color w:val="auto"/>
                <w:kern w:val="0"/>
                <w:sz w:val="21"/>
                <w:szCs w:val="21"/>
                <w:highlight w:val="none"/>
                <w:lang w:eastAsia="zh-CN"/>
              </w:rPr>
              <w:t>相关法律法规的</w:t>
            </w:r>
            <w:r>
              <w:rPr>
                <w:rFonts w:hint="eastAsia" w:ascii="宋体" w:hAnsi="宋体" w:cs="宋体"/>
                <w:color w:val="auto"/>
                <w:kern w:val="0"/>
                <w:sz w:val="21"/>
                <w:szCs w:val="21"/>
                <w:highlight w:val="none"/>
              </w:rPr>
              <w:t>行为，有1次扣2分</w:t>
            </w:r>
          </w:p>
        </w:tc>
        <w:tc>
          <w:tcPr>
            <w:tcW w:w="930" w:type="dxa"/>
            <w:vAlign w:val="center"/>
          </w:tcPr>
          <w:p w14:paraId="4A2C401B">
            <w:pPr>
              <w:spacing w:line="340" w:lineRule="exact"/>
              <w:jc w:val="center"/>
              <w:rPr>
                <w:rFonts w:ascii="宋体" w:hAnsi="宋体" w:cs="宋体"/>
                <w:color w:val="auto"/>
                <w:kern w:val="0"/>
                <w:sz w:val="21"/>
                <w:szCs w:val="21"/>
                <w:highlight w:val="none"/>
              </w:rPr>
            </w:pPr>
          </w:p>
        </w:tc>
      </w:tr>
      <w:tr w14:paraId="1B2BE0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1500" w:type="dxa"/>
            <w:vAlign w:val="center"/>
          </w:tcPr>
          <w:p w14:paraId="29A85394">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总 评</w:t>
            </w:r>
          </w:p>
        </w:tc>
        <w:tc>
          <w:tcPr>
            <w:tcW w:w="6608" w:type="dxa"/>
            <w:gridSpan w:val="3"/>
            <w:vAlign w:val="center"/>
          </w:tcPr>
          <w:p w14:paraId="6EF8EB21">
            <w:pPr>
              <w:spacing w:line="340" w:lineRule="exact"/>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9</w:t>
            </w:r>
            <w:r>
              <w:rPr>
                <w:rFonts w:hint="eastAsia" w:ascii="宋体" w:hAnsi="宋体" w:cs="宋体"/>
                <w:color w:val="auto"/>
                <w:kern w:val="0"/>
                <w:sz w:val="21"/>
                <w:szCs w:val="21"/>
                <w:highlight w:val="none"/>
                <w:lang w:val="en-US" w:eastAsia="zh-CN"/>
              </w:rPr>
              <w:t>0</w:t>
            </w:r>
            <w:r>
              <w:rPr>
                <w:rFonts w:hint="eastAsia" w:ascii="宋体" w:hAnsi="宋体" w:cs="宋体"/>
                <w:color w:val="auto"/>
                <w:kern w:val="0"/>
                <w:sz w:val="21"/>
                <w:szCs w:val="21"/>
                <w:highlight w:val="none"/>
              </w:rPr>
              <w:t xml:space="preserve">分以上优秀  </w:t>
            </w: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 xml:space="preserve">0分以上良好  </w:t>
            </w:r>
            <w:r>
              <w:rPr>
                <w:rFonts w:hint="eastAsia" w:ascii="宋体" w:hAnsi="宋体" w:cs="宋体"/>
                <w:color w:val="auto"/>
                <w:kern w:val="0"/>
                <w:sz w:val="21"/>
                <w:szCs w:val="21"/>
                <w:highlight w:val="none"/>
                <w:lang w:val="en-US" w:eastAsia="zh-CN"/>
              </w:rPr>
              <w:t>7</w:t>
            </w:r>
            <w:r>
              <w:rPr>
                <w:rFonts w:hint="eastAsia" w:ascii="宋体" w:hAnsi="宋体" w:cs="宋体"/>
                <w:color w:val="auto"/>
                <w:kern w:val="0"/>
                <w:sz w:val="21"/>
                <w:szCs w:val="21"/>
                <w:highlight w:val="none"/>
              </w:rPr>
              <w:t>0分以上合格</w:t>
            </w:r>
          </w:p>
        </w:tc>
        <w:tc>
          <w:tcPr>
            <w:tcW w:w="930" w:type="dxa"/>
            <w:vAlign w:val="center"/>
          </w:tcPr>
          <w:p w14:paraId="5CF2EA45">
            <w:pPr>
              <w:spacing w:line="340" w:lineRule="exact"/>
              <w:jc w:val="center"/>
              <w:rPr>
                <w:rFonts w:ascii="宋体" w:hAnsi="宋体" w:cs="宋体"/>
                <w:color w:val="auto"/>
                <w:kern w:val="0"/>
                <w:sz w:val="21"/>
                <w:szCs w:val="21"/>
                <w:highlight w:val="none"/>
              </w:rPr>
            </w:pPr>
          </w:p>
        </w:tc>
      </w:tr>
    </w:tbl>
    <w:p w14:paraId="7592FCEF">
      <w:pPr>
        <w:pStyle w:val="35"/>
        <w:ind w:left="0" w:leftChars="0" w:firstLine="0" w:firstLineChars="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                             考评单位盖章：</w:t>
      </w:r>
    </w:p>
    <w:p w14:paraId="1A99BCE4">
      <w:pPr>
        <w:pStyle w:val="35"/>
        <w:ind w:left="0" w:leftChars="0" w:firstLine="0" w:firstLineChars="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附件9</w:t>
      </w:r>
    </w:p>
    <w:p w14:paraId="14F7CE2B">
      <w:pPr>
        <w:spacing w:line="560" w:lineRule="exact"/>
        <w:jc w:val="center"/>
        <w:rPr>
          <w:rFonts w:ascii="宋体" w:hAnsi="宋体"/>
          <w:b/>
          <w:color w:val="auto"/>
          <w:sz w:val="28"/>
          <w:szCs w:val="28"/>
          <w:highlight w:val="none"/>
        </w:rPr>
      </w:pPr>
      <w:r>
        <w:rPr>
          <w:rFonts w:hint="eastAsia" w:ascii="宋体" w:hAnsi="宋体"/>
          <w:b/>
          <w:color w:val="auto"/>
          <w:sz w:val="28"/>
          <w:szCs w:val="28"/>
          <w:highlight w:val="none"/>
        </w:rPr>
        <w:t>江苏航运职业技术学院</w:t>
      </w:r>
    </w:p>
    <w:p w14:paraId="3E207E8A">
      <w:pPr>
        <w:spacing w:line="560" w:lineRule="exact"/>
        <w:jc w:val="center"/>
        <w:rPr>
          <w:rFonts w:ascii="宋体" w:hAnsi="宋体"/>
          <w:b/>
          <w:color w:val="auto"/>
          <w:sz w:val="28"/>
          <w:szCs w:val="28"/>
          <w:highlight w:val="none"/>
        </w:rPr>
      </w:pPr>
      <w:r>
        <w:rPr>
          <w:rFonts w:hint="eastAsia" w:ascii="宋体" w:hAnsi="宋体"/>
          <w:b/>
          <w:color w:val="auto"/>
          <w:sz w:val="28"/>
          <w:szCs w:val="28"/>
          <w:highlight w:val="none"/>
        </w:rPr>
        <w:t>消防设施设备维保单位</w:t>
      </w:r>
      <w:r>
        <w:rPr>
          <w:rFonts w:hint="eastAsia" w:ascii="宋体" w:hAnsi="宋体"/>
          <w:b/>
          <w:color w:val="auto"/>
          <w:sz w:val="28"/>
          <w:szCs w:val="28"/>
          <w:highlight w:val="none"/>
          <w:u w:val="single"/>
          <w:lang w:val="en-US" w:eastAsia="zh-CN"/>
        </w:rPr>
        <w:t xml:space="preserve">     </w:t>
      </w:r>
      <w:r>
        <w:rPr>
          <w:rFonts w:hint="eastAsia" w:ascii="宋体" w:hAnsi="宋体"/>
          <w:b/>
          <w:color w:val="auto"/>
          <w:sz w:val="28"/>
          <w:szCs w:val="28"/>
          <w:highlight w:val="none"/>
          <w:u w:val="none"/>
        </w:rPr>
        <w:t>月</w:t>
      </w:r>
      <w:r>
        <w:rPr>
          <w:rFonts w:hint="eastAsia" w:ascii="宋体" w:hAnsi="宋体"/>
          <w:b/>
          <w:color w:val="auto"/>
          <w:sz w:val="28"/>
          <w:szCs w:val="28"/>
          <w:highlight w:val="none"/>
        </w:rPr>
        <w:t>工作绩效考核评分表</w:t>
      </w:r>
    </w:p>
    <w:tbl>
      <w:tblPr>
        <w:tblStyle w:val="3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736"/>
        <w:gridCol w:w="636"/>
        <w:gridCol w:w="5668"/>
        <w:gridCol w:w="724"/>
      </w:tblGrid>
      <w:tr w14:paraId="03668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5A8C13C2">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名称类别</w:t>
            </w:r>
          </w:p>
        </w:tc>
        <w:tc>
          <w:tcPr>
            <w:tcW w:w="775" w:type="dxa"/>
            <w:vAlign w:val="center"/>
          </w:tcPr>
          <w:p w14:paraId="7C917D3E">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考核项目</w:t>
            </w:r>
          </w:p>
        </w:tc>
        <w:tc>
          <w:tcPr>
            <w:tcW w:w="662" w:type="dxa"/>
            <w:vAlign w:val="center"/>
          </w:tcPr>
          <w:p w14:paraId="436197CF">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分值</w:t>
            </w:r>
          </w:p>
        </w:tc>
        <w:tc>
          <w:tcPr>
            <w:tcW w:w="6289" w:type="dxa"/>
            <w:vAlign w:val="center"/>
          </w:tcPr>
          <w:p w14:paraId="027B53FC">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考核标准</w:t>
            </w:r>
          </w:p>
        </w:tc>
        <w:tc>
          <w:tcPr>
            <w:tcW w:w="762" w:type="dxa"/>
            <w:vAlign w:val="center"/>
          </w:tcPr>
          <w:p w14:paraId="64423A37">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得分</w:t>
            </w:r>
          </w:p>
        </w:tc>
      </w:tr>
      <w:tr w14:paraId="28FB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14:paraId="03996E7A">
            <w:pPr>
              <w:widowControl/>
              <w:spacing w:line="24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维保项目</w:t>
            </w:r>
          </w:p>
          <w:p w14:paraId="7EC8DDEE">
            <w:pPr>
              <w:spacing w:line="240" w:lineRule="auto"/>
              <w:jc w:val="center"/>
              <w:rPr>
                <w:color w:val="auto"/>
                <w:highlight w:val="none"/>
                <w:vertAlign w:val="baseline"/>
              </w:rPr>
            </w:pPr>
            <w:r>
              <w:rPr>
                <w:rFonts w:hint="eastAsia" w:ascii="宋体" w:hAnsi="宋体" w:cs="宋体"/>
                <w:color w:val="auto"/>
                <w:kern w:val="0"/>
                <w:szCs w:val="21"/>
                <w:highlight w:val="none"/>
              </w:rPr>
              <w:t>完成情况</w:t>
            </w:r>
          </w:p>
        </w:tc>
        <w:tc>
          <w:tcPr>
            <w:tcW w:w="775" w:type="dxa"/>
            <w:vAlign w:val="center"/>
          </w:tcPr>
          <w:p w14:paraId="78AE479A">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完成项目</w:t>
            </w:r>
          </w:p>
        </w:tc>
        <w:tc>
          <w:tcPr>
            <w:tcW w:w="662" w:type="dxa"/>
            <w:vAlign w:val="center"/>
          </w:tcPr>
          <w:p w14:paraId="4B8A37A0">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20</w:t>
            </w:r>
          </w:p>
        </w:tc>
        <w:tc>
          <w:tcPr>
            <w:tcW w:w="6289" w:type="dxa"/>
            <w:vAlign w:val="center"/>
          </w:tcPr>
          <w:p w14:paraId="067933EA">
            <w:pPr>
              <w:widowControl/>
              <w:numPr>
                <w:ilvl w:val="0"/>
                <w:numId w:val="0"/>
              </w:numPr>
              <w:adjustRightInd w:val="0"/>
              <w:snapToGrid w:val="0"/>
              <w:spacing w:line="24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rPr>
              <w:t>未按照维保合同和校方主管部门（保卫处）消防工作计划完成日、周、月、季维保项目。</w:t>
            </w:r>
          </w:p>
          <w:p w14:paraId="7B602214">
            <w:pPr>
              <w:widowControl/>
              <w:numPr>
                <w:ilvl w:val="0"/>
                <w:numId w:val="0"/>
              </w:numPr>
              <w:adjustRightInd w:val="0"/>
              <w:snapToGrid w:val="0"/>
              <w:spacing w:line="240" w:lineRule="auto"/>
              <w:jc w:val="left"/>
              <w:rPr>
                <w:rFonts w:ascii="宋体" w:hAnsi="宋体" w:eastAsia="宋体" w:cs="宋体"/>
                <w:color w:val="auto"/>
                <w:kern w:val="0"/>
                <w:sz w:val="21"/>
                <w:szCs w:val="21"/>
                <w:highlight w:val="none"/>
                <w:lang w:val="en-US" w:eastAsia="zh-CN" w:bidi="ar-SA"/>
              </w:rPr>
            </w:pPr>
            <w:r>
              <w:rPr>
                <w:rFonts w:ascii="宋体" w:hAnsi="宋体" w:eastAsia="宋体" w:cs="宋体"/>
                <w:color w:val="auto"/>
                <w:kern w:val="0"/>
                <w:sz w:val="21"/>
                <w:szCs w:val="21"/>
                <w:highlight w:val="none"/>
                <w:lang w:val="en-US" w:eastAsia="zh-CN" w:bidi="ar-SA"/>
              </w:rPr>
              <w:t>2.</w:t>
            </w:r>
            <w:r>
              <w:rPr>
                <w:rFonts w:hint="eastAsia" w:ascii="宋体" w:hAnsi="宋体" w:cs="宋体"/>
                <w:color w:val="auto"/>
                <w:kern w:val="0"/>
                <w:sz w:val="21"/>
                <w:szCs w:val="21"/>
                <w:highlight w:val="none"/>
              </w:rPr>
              <w:t xml:space="preserve">漏检大项扣5分，漏检每一小项扣2分。      </w:t>
            </w:r>
          </w:p>
        </w:tc>
        <w:tc>
          <w:tcPr>
            <w:tcW w:w="762" w:type="dxa"/>
            <w:vAlign w:val="center"/>
          </w:tcPr>
          <w:p w14:paraId="1EEDD011">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　</w:t>
            </w:r>
          </w:p>
        </w:tc>
      </w:tr>
      <w:tr w14:paraId="29073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14:paraId="16CA9348">
            <w:pPr>
              <w:spacing w:line="240" w:lineRule="auto"/>
              <w:rPr>
                <w:color w:val="auto"/>
                <w:highlight w:val="none"/>
                <w:vertAlign w:val="baseline"/>
              </w:rPr>
            </w:pPr>
          </w:p>
        </w:tc>
        <w:tc>
          <w:tcPr>
            <w:tcW w:w="775" w:type="dxa"/>
            <w:vAlign w:val="center"/>
          </w:tcPr>
          <w:p w14:paraId="093943FD">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完成质量</w:t>
            </w:r>
          </w:p>
        </w:tc>
        <w:tc>
          <w:tcPr>
            <w:tcW w:w="662" w:type="dxa"/>
            <w:vAlign w:val="center"/>
          </w:tcPr>
          <w:p w14:paraId="208CB04F">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30</w:t>
            </w:r>
          </w:p>
        </w:tc>
        <w:tc>
          <w:tcPr>
            <w:tcW w:w="6289" w:type="dxa"/>
            <w:vAlign w:val="center"/>
          </w:tcPr>
          <w:p w14:paraId="3E8535DA">
            <w:pPr>
              <w:widowControl/>
              <w:numPr>
                <w:ilvl w:val="0"/>
                <w:numId w:val="0"/>
              </w:numPr>
              <w:adjustRightInd w:val="0"/>
              <w:snapToGrid w:val="0"/>
              <w:spacing w:line="240" w:lineRule="auto"/>
              <w:jc w:val="left"/>
              <w:rPr>
                <w:rFonts w:hint="eastAsia"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SA"/>
              </w:rPr>
              <w:t>1.</w:t>
            </w:r>
            <w:r>
              <w:rPr>
                <w:rFonts w:hint="eastAsia" w:ascii="宋体" w:hAnsi="宋体" w:cs="宋体"/>
                <w:color w:val="auto"/>
                <w:kern w:val="0"/>
                <w:sz w:val="21"/>
                <w:szCs w:val="21"/>
                <w:highlight w:val="none"/>
              </w:rPr>
              <w:t>设备运行是否良好，因维保不到位致使设备出现故障的，乙方应承担相应费用和责任，1次扣5分。                                   2.设施设备是否按规定保养；是否存在锈蚀的情况；测试时候运行不正常等，每发现1项1次扣5分。</w:t>
            </w:r>
          </w:p>
          <w:p w14:paraId="0E1937E5">
            <w:pPr>
              <w:widowControl/>
              <w:numPr>
                <w:ilvl w:val="0"/>
                <w:numId w:val="0"/>
              </w:numPr>
              <w:adjustRightInd w:val="0"/>
              <w:snapToGrid w:val="0"/>
              <w:spacing w:line="240" w:lineRule="auto"/>
              <w:ind w:left="0" w:leftChars="0" w:firstLine="0" w:firstLineChars="0"/>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bidi="ar-SA"/>
              </w:rPr>
              <w:t>3</w:t>
            </w:r>
            <w:r>
              <w:rPr>
                <w:rFonts w:hint="eastAsia" w:ascii="宋体" w:hAnsi="宋体" w:eastAsia="宋体" w:cs="宋体"/>
                <w:color w:val="auto"/>
                <w:kern w:val="0"/>
                <w:sz w:val="21"/>
                <w:szCs w:val="21"/>
                <w:highlight w:val="none"/>
                <w:lang w:val="en-US" w:eastAsia="zh-CN" w:bidi="ar-SA"/>
              </w:rPr>
              <w:t>.</w:t>
            </w:r>
            <w:r>
              <w:rPr>
                <w:rFonts w:hint="eastAsia" w:ascii="宋体" w:hAnsi="宋体" w:cs="宋体"/>
                <w:color w:val="auto"/>
                <w:kern w:val="0"/>
                <w:sz w:val="21"/>
                <w:szCs w:val="21"/>
                <w:highlight w:val="none"/>
              </w:rPr>
              <w:t>维保不到位，学校被消防部门处罚的，1次扣10分。</w:t>
            </w:r>
          </w:p>
          <w:p w14:paraId="4F4DD9AE">
            <w:pPr>
              <w:widowControl/>
              <w:numPr>
                <w:ilvl w:val="0"/>
                <w:numId w:val="0"/>
              </w:numPr>
              <w:adjustRightInd w:val="0"/>
              <w:snapToGrid w:val="0"/>
              <w:spacing w:line="240" w:lineRule="auto"/>
              <w:ind w:left="0" w:leftChars="0" w:firstLine="0" w:firstLineChars="0"/>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4.检查不到位隐患存在，1次扣5分。</w:t>
            </w:r>
          </w:p>
        </w:tc>
        <w:tc>
          <w:tcPr>
            <w:tcW w:w="762" w:type="dxa"/>
            <w:vAlign w:val="center"/>
          </w:tcPr>
          <w:p w14:paraId="4A17337E">
            <w:pPr>
              <w:widowControl/>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　</w:t>
            </w:r>
          </w:p>
        </w:tc>
      </w:tr>
      <w:tr w14:paraId="004F4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14:paraId="4B970F1D">
            <w:pPr>
              <w:spacing w:line="240" w:lineRule="auto"/>
              <w:rPr>
                <w:color w:val="auto"/>
                <w:highlight w:val="none"/>
                <w:vertAlign w:val="baseline"/>
              </w:rPr>
            </w:pPr>
          </w:p>
        </w:tc>
        <w:tc>
          <w:tcPr>
            <w:tcW w:w="775" w:type="dxa"/>
            <w:vAlign w:val="center"/>
          </w:tcPr>
          <w:p w14:paraId="454336E6">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记录台帐</w:t>
            </w:r>
          </w:p>
        </w:tc>
        <w:tc>
          <w:tcPr>
            <w:tcW w:w="662" w:type="dxa"/>
            <w:vAlign w:val="center"/>
          </w:tcPr>
          <w:p w14:paraId="57194330">
            <w:pPr>
              <w:widowControl/>
              <w:spacing w:line="24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w:t>
            </w:r>
          </w:p>
        </w:tc>
        <w:tc>
          <w:tcPr>
            <w:tcW w:w="6289" w:type="dxa"/>
            <w:vAlign w:val="center"/>
          </w:tcPr>
          <w:p w14:paraId="5596CA63">
            <w:pPr>
              <w:widowControl/>
              <w:numPr>
                <w:ilvl w:val="0"/>
                <w:numId w:val="3"/>
              </w:numPr>
              <w:adjustRightInd w:val="0"/>
              <w:snapToGrid w:val="0"/>
              <w:spacing w:line="240" w:lineRule="auto"/>
              <w:jc w:val="left"/>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是否能按校方主管部门（保卫处）要求完成合同维修和保养项目，按时出具维修、维保报告（报告一式三份）维修更换确认单</w:t>
            </w:r>
          </w:p>
          <w:p w14:paraId="121E3772">
            <w:pPr>
              <w:widowControl/>
              <w:numPr>
                <w:ilvl w:val="0"/>
                <w:numId w:val="3"/>
              </w:numPr>
              <w:adjustRightInd w:val="0"/>
              <w:snapToGrid w:val="0"/>
              <w:spacing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是否有校方主管部门、维保单位项目负责人和现场维保相关人员确认并签字，并留存备案。</w:t>
            </w:r>
          </w:p>
          <w:p w14:paraId="7DB497F2">
            <w:pPr>
              <w:widowControl/>
              <w:numPr>
                <w:ilvl w:val="0"/>
                <w:numId w:val="3"/>
              </w:numPr>
              <w:adjustRightInd w:val="0"/>
              <w:snapToGrid w:val="0"/>
              <w:spacing w:line="240" w:lineRule="auto"/>
              <w:jc w:val="left"/>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未及时维保、维修，未得到校方主管部门认可签字的；其他校方主管部门认为不符合规范要求的情况，发现一次扣2分</w:t>
            </w:r>
          </w:p>
        </w:tc>
        <w:tc>
          <w:tcPr>
            <w:tcW w:w="762" w:type="dxa"/>
            <w:vAlign w:val="center"/>
          </w:tcPr>
          <w:p w14:paraId="6B00CFAD">
            <w:pPr>
              <w:widowControl/>
              <w:spacing w:line="240" w:lineRule="auto"/>
              <w:jc w:val="center"/>
              <w:rPr>
                <w:rFonts w:hint="eastAsia" w:ascii="宋体" w:hAnsi="宋体" w:eastAsia="宋体" w:cs="宋体"/>
                <w:color w:val="auto"/>
                <w:kern w:val="0"/>
                <w:sz w:val="21"/>
                <w:szCs w:val="21"/>
                <w:highlight w:val="none"/>
                <w:lang w:val="en-US" w:eastAsia="zh-CN" w:bidi="ar-SA"/>
              </w:rPr>
            </w:pPr>
          </w:p>
        </w:tc>
      </w:tr>
      <w:tr w14:paraId="5E29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14:paraId="2A38E8FA">
            <w:pPr>
              <w:spacing w:line="24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突发故障</w:t>
            </w:r>
          </w:p>
          <w:p w14:paraId="3989AEE8">
            <w:pPr>
              <w:spacing w:line="240" w:lineRule="auto"/>
              <w:jc w:val="center"/>
              <w:rPr>
                <w:color w:val="auto"/>
                <w:highlight w:val="none"/>
                <w:vertAlign w:val="baseline"/>
              </w:rPr>
            </w:pPr>
            <w:r>
              <w:rPr>
                <w:rFonts w:hint="eastAsia" w:ascii="宋体" w:hAnsi="宋体" w:cs="宋体"/>
                <w:color w:val="auto"/>
                <w:kern w:val="0"/>
                <w:sz w:val="21"/>
                <w:szCs w:val="21"/>
                <w:highlight w:val="none"/>
              </w:rPr>
              <w:t>处理响应</w:t>
            </w:r>
          </w:p>
        </w:tc>
        <w:tc>
          <w:tcPr>
            <w:tcW w:w="775" w:type="dxa"/>
            <w:vAlign w:val="center"/>
          </w:tcPr>
          <w:p w14:paraId="714816B6">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响应及时</w:t>
            </w:r>
          </w:p>
        </w:tc>
        <w:tc>
          <w:tcPr>
            <w:tcW w:w="662" w:type="dxa"/>
            <w:vAlign w:val="center"/>
          </w:tcPr>
          <w:p w14:paraId="455BE411">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w:t>
            </w:r>
          </w:p>
        </w:tc>
        <w:tc>
          <w:tcPr>
            <w:tcW w:w="6289" w:type="dxa"/>
            <w:vAlign w:val="center"/>
          </w:tcPr>
          <w:p w14:paraId="49E81820">
            <w:pPr>
              <w:spacing w:line="240" w:lineRule="auto"/>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未按合同承诺时间巡查，未按照校方主管部门（保卫处）要求时间到达现场进行维修，发现1次扣5分</w:t>
            </w:r>
          </w:p>
        </w:tc>
        <w:tc>
          <w:tcPr>
            <w:tcW w:w="762" w:type="dxa"/>
            <w:vAlign w:val="center"/>
          </w:tcPr>
          <w:p w14:paraId="2D2E90DD">
            <w:pPr>
              <w:spacing w:line="240" w:lineRule="auto"/>
              <w:jc w:val="center"/>
              <w:rPr>
                <w:rFonts w:ascii="宋体" w:hAnsi="宋体" w:eastAsia="宋体" w:cs="宋体"/>
                <w:color w:val="auto"/>
                <w:kern w:val="0"/>
                <w:sz w:val="21"/>
                <w:szCs w:val="21"/>
                <w:highlight w:val="none"/>
                <w:lang w:val="en-US" w:eastAsia="zh-CN" w:bidi="ar-SA"/>
              </w:rPr>
            </w:pPr>
          </w:p>
        </w:tc>
      </w:tr>
      <w:tr w14:paraId="41668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14:paraId="256B700B">
            <w:pPr>
              <w:spacing w:line="240" w:lineRule="auto"/>
              <w:rPr>
                <w:color w:val="auto"/>
                <w:highlight w:val="none"/>
                <w:vertAlign w:val="baseline"/>
              </w:rPr>
            </w:pPr>
          </w:p>
        </w:tc>
        <w:tc>
          <w:tcPr>
            <w:tcW w:w="775" w:type="dxa"/>
            <w:vAlign w:val="center"/>
          </w:tcPr>
          <w:p w14:paraId="0F5C91D7">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措施得当</w:t>
            </w:r>
          </w:p>
        </w:tc>
        <w:tc>
          <w:tcPr>
            <w:tcW w:w="662" w:type="dxa"/>
            <w:vAlign w:val="center"/>
          </w:tcPr>
          <w:p w14:paraId="4125FF44">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10</w:t>
            </w:r>
          </w:p>
        </w:tc>
        <w:tc>
          <w:tcPr>
            <w:tcW w:w="6289" w:type="dxa"/>
            <w:vAlign w:val="center"/>
          </w:tcPr>
          <w:p w14:paraId="19AC5BF9">
            <w:pPr>
              <w:spacing w:line="240" w:lineRule="auto"/>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未能及时排除故障，没有采取相应的措施并在5个工作日内恢复设备正常运行，消防设备长时间无法正常运行的扣10分。</w:t>
            </w:r>
          </w:p>
        </w:tc>
        <w:tc>
          <w:tcPr>
            <w:tcW w:w="762" w:type="dxa"/>
            <w:vAlign w:val="center"/>
          </w:tcPr>
          <w:p w14:paraId="322E9EF4">
            <w:pPr>
              <w:spacing w:line="240" w:lineRule="auto"/>
              <w:jc w:val="center"/>
              <w:rPr>
                <w:rFonts w:ascii="宋体" w:hAnsi="宋体" w:eastAsia="宋体" w:cs="宋体"/>
                <w:color w:val="auto"/>
                <w:kern w:val="0"/>
                <w:sz w:val="21"/>
                <w:szCs w:val="21"/>
                <w:highlight w:val="none"/>
                <w:lang w:val="en-US" w:eastAsia="zh-CN" w:bidi="ar-SA"/>
              </w:rPr>
            </w:pPr>
          </w:p>
        </w:tc>
      </w:tr>
      <w:tr w14:paraId="74BD6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restart"/>
            <w:vAlign w:val="center"/>
          </w:tcPr>
          <w:p w14:paraId="573D826F">
            <w:pPr>
              <w:spacing w:line="240" w:lineRule="auto"/>
              <w:jc w:val="center"/>
              <w:rPr>
                <w:rFonts w:ascii="宋体" w:hAnsi="宋体" w:cs="宋体"/>
                <w:color w:val="auto"/>
                <w:kern w:val="0"/>
                <w:sz w:val="21"/>
                <w:szCs w:val="21"/>
                <w:highlight w:val="none"/>
              </w:rPr>
            </w:pPr>
            <w:r>
              <w:rPr>
                <w:rFonts w:hint="eastAsia" w:ascii="宋体" w:hAnsi="宋体" w:cs="宋体"/>
                <w:color w:val="auto"/>
                <w:kern w:val="0"/>
                <w:sz w:val="21"/>
                <w:szCs w:val="21"/>
                <w:highlight w:val="none"/>
              </w:rPr>
              <w:t>遵守有关</w:t>
            </w:r>
          </w:p>
          <w:p w14:paraId="500D2F14">
            <w:pPr>
              <w:spacing w:line="240" w:lineRule="auto"/>
              <w:jc w:val="center"/>
              <w:rPr>
                <w:color w:val="auto"/>
                <w:highlight w:val="none"/>
                <w:vertAlign w:val="baseline"/>
              </w:rPr>
            </w:pPr>
            <w:r>
              <w:rPr>
                <w:rFonts w:hint="eastAsia" w:ascii="宋体" w:hAnsi="宋体" w:cs="宋体"/>
                <w:color w:val="auto"/>
                <w:kern w:val="0"/>
                <w:sz w:val="21"/>
                <w:szCs w:val="21"/>
                <w:highlight w:val="none"/>
              </w:rPr>
              <w:t>管理规定</w:t>
            </w:r>
          </w:p>
        </w:tc>
        <w:tc>
          <w:tcPr>
            <w:tcW w:w="775" w:type="dxa"/>
            <w:vAlign w:val="center"/>
          </w:tcPr>
          <w:p w14:paraId="70EF9B4F">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持证上岗</w:t>
            </w:r>
          </w:p>
        </w:tc>
        <w:tc>
          <w:tcPr>
            <w:tcW w:w="662" w:type="dxa"/>
            <w:vAlign w:val="center"/>
          </w:tcPr>
          <w:p w14:paraId="7AB3922E">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w:t>
            </w:r>
          </w:p>
        </w:tc>
        <w:tc>
          <w:tcPr>
            <w:tcW w:w="6289" w:type="dxa"/>
            <w:vAlign w:val="center"/>
          </w:tcPr>
          <w:p w14:paraId="6A3B089A">
            <w:pPr>
              <w:spacing w:line="240" w:lineRule="auto"/>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维保单位有擅自更换已向校方主管部门（保卫处）备案的消防检测人员，无相应作业资格证人员进行维保、维修的发现1次扣2分</w:t>
            </w:r>
          </w:p>
        </w:tc>
        <w:tc>
          <w:tcPr>
            <w:tcW w:w="762" w:type="dxa"/>
            <w:vAlign w:val="center"/>
          </w:tcPr>
          <w:p w14:paraId="5C1D2BC1">
            <w:pPr>
              <w:spacing w:line="240" w:lineRule="auto"/>
              <w:jc w:val="center"/>
              <w:rPr>
                <w:rFonts w:ascii="宋体" w:hAnsi="宋体" w:eastAsia="宋体" w:cs="宋体"/>
                <w:color w:val="auto"/>
                <w:kern w:val="0"/>
                <w:sz w:val="21"/>
                <w:szCs w:val="21"/>
                <w:highlight w:val="none"/>
                <w:lang w:val="en-US" w:eastAsia="zh-CN" w:bidi="ar-SA"/>
              </w:rPr>
            </w:pPr>
          </w:p>
        </w:tc>
      </w:tr>
      <w:tr w14:paraId="4C056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trPr>
        <w:tc>
          <w:tcPr>
            <w:tcW w:w="806" w:type="dxa"/>
            <w:vMerge w:val="continue"/>
          </w:tcPr>
          <w:p w14:paraId="248E85C2">
            <w:pPr>
              <w:spacing w:line="240" w:lineRule="auto"/>
              <w:rPr>
                <w:color w:val="auto"/>
                <w:highlight w:val="none"/>
                <w:vertAlign w:val="baseline"/>
              </w:rPr>
            </w:pPr>
          </w:p>
        </w:tc>
        <w:tc>
          <w:tcPr>
            <w:tcW w:w="775" w:type="dxa"/>
            <w:vAlign w:val="center"/>
          </w:tcPr>
          <w:p w14:paraId="766EB011">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服务规范</w:t>
            </w:r>
          </w:p>
        </w:tc>
        <w:tc>
          <w:tcPr>
            <w:tcW w:w="662" w:type="dxa"/>
            <w:vAlign w:val="center"/>
          </w:tcPr>
          <w:p w14:paraId="303508E0">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w:t>
            </w:r>
          </w:p>
        </w:tc>
        <w:tc>
          <w:tcPr>
            <w:tcW w:w="6289" w:type="dxa"/>
            <w:vAlign w:val="center"/>
          </w:tcPr>
          <w:p w14:paraId="1CE32A30">
            <w:pPr>
              <w:spacing w:line="240" w:lineRule="auto"/>
              <w:jc w:val="both"/>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未按要求持证上岗、衣冠不整等服务不规范，发现1次扣1分</w:t>
            </w:r>
          </w:p>
        </w:tc>
        <w:tc>
          <w:tcPr>
            <w:tcW w:w="762" w:type="dxa"/>
            <w:vAlign w:val="center"/>
          </w:tcPr>
          <w:p w14:paraId="797BCFF3">
            <w:pPr>
              <w:spacing w:line="240" w:lineRule="auto"/>
              <w:jc w:val="center"/>
              <w:rPr>
                <w:rFonts w:ascii="宋体" w:hAnsi="宋体" w:eastAsia="宋体" w:cs="宋体"/>
                <w:color w:val="auto"/>
                <w:kern w:val="0"/>
                <w:sz w:val="21"/>
                <w:szCs w:val="21"/>
                <w:highlight w:val="none"/>
                <w:lang w:val="en-US" w:eastAsia="zh-CN" w:bidi="ar-SA"/>
              </w:rPr>
            </w:pPr>
          </w:p>
        </w:tc>
      </w:tr>
      <w:tr w14:paraId="00652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14:paraId="0E152B50">
            <w:pPr>
              <w:spacing w:line="240" w:lineRule="auto"/>
              <w:rPr>
                <w:color w:val="auto"/>
                <w:highlight w:val="none"/>
                <w:vertAlign w:val="baseline"/>
              </w:rPr>
            </w:pPr>
          </w:p>
        </w:tc>
        <w:tc>
          <w:tcPr>
            <w:tcW w:w="775" w:type="dxa"/>
            <w:vAlign w:val="center"/>
          </w:tcPr>
          <w:p w14:paraId="42A0AD31">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操作规范</w:t>
            </w:r>
          </w:p>
        </w:tc>
        <w:tc>
          <w:tcPr>
            <w:tcW w:w="662" w:type="dxa"/>
            <w:vAlign w:val="center"/>
          </w:tcPr>
          <w:p w14:paraId="47587720">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w:t>
            </w:r>
          </w:p>
        </w:tc>
        <w:tc>
          <w:tcPr>
            <w:tcW w:w="6289" w:type="dxa"/>
            <w:vAlign w:val="center"/>
          </w:tcPr>
          <w:p w14:paraId="146B5A28">
            <w:pPr>
              <w:spacing w:line="240" w:lineRule="auto"/>
              <w:jc w:val="left"/>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不按操作规范要求野蛮施工、登高维修安全措施不到位进行作业，发现1次扣2分</w:t>
            </w:r>
          </w:p>
        </w:tc>
        <w:tc>
          <w:tcPr>
            <w:tcW w:w="762" w:type="dxa"/>
            <w:vAlign w:val="center"/>
          </w:tcPr>
          <w:p w14:paraId="6E0C7F1F">
            <w:pPr>
              <w:spacing w:line="240" w:lineRule="auto"/>
              <w:jc w:val="center"/>
              <w:rPr>
                <w:rFonts w:ascii="宋体" w:hAnsi="宋体" w:eastAsia="宋体" w:cs="宋体"/>
                <w:color w:val="auto"/>
                <w:kern w:val="0"/>
                <w:sz w:val="21"/>
                <w:szCs w:val="21"/>
                <w:highlight w:val="none"/>
                <w:lang w:val="en-US" w:eastAsia="zh-CN" w:bidi="ar-SA"/>
              </w:rPr>
            </w:pPr>
          </w:p>
        </w:tc>
      </w:tr>
      <w:tr w14:paraId="7BDA5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Merge w:val="continue"/>
          </w:tcPr>
          <w:p w14:paraId="67FC384E">
            <w:pPr>
              <w:spacing w:line="240" w:lineRule="auto"/>
              <w:rPr>
                <w:color w:val="auto"/>
                <w:highlight w:val="none"/>
                <w:vertAlign w:val="baseline"/>
              </w:rPr>
            </w:pPr>
          </w:p>
        </w:tc>
        <w:tc>
          <w:tcPr>
            <w:tcW w:w="775" w:type="dxa"/>
            <w:vAlign w:val="center"/>
          </w:tcPr>
          <w:p w14:paraId="28D0CD13">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服从管理</w:t>
            </w:r>
          </w:p>
        </w:tc>
        <w:tc>
          <w:tcPr>
            <w:tcW w:w="662" w:type="dxa"/>
            <w:vAlign w:val="center"/>
          </w:tcPr>
          <w:p w14:paraId="2F2A6475">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5</w:t>
            </w:r>
          </w:p>
        </w:tc>
        <w:tc>
          <w:tcPr>
            <w:tcW w:w="6289" w:type="dxa"/>
            <w:vAlign w:val="center"/>
          </w:tcPr>
          <w:p w14:paraId="422D5396">
            <w:pPr>
              <w:spacing w:line="240" w:lineRule="auto"/>
              <w:jc w:val="both"/>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1.</w:t>
            </w:r>
            <w:r>
              <w:rPr>
                <w:rFonts w:hint="eastAsia" w:ascii="宋体" w:hAnsi="宋体" w:cs="宋体"/>
                <w:color w:val="auto"/>
                <w:kern w:val="0"/>
                <w:sz w:val="21"/>
                <w:szCs w:val="21"/>
                <w:highlight w:val="none"/>
              </w:rPr>
              <w:t>不服从学校管理和存在违反校规校纪行为，有1次扣2分</w:t>
            </w:r>
          </w:p>
        </w:tc>
        <w:tc>
          <w:tcPr>
            <w:tcW w:w="762" w:type="dxa"/>
            <w:vAlign w:val="center"/>
          </w:tcPr>
          <w:p w14:paraId="1D4D70F1">
            <w:pPr>
              <w:spacing w:line="240" w:lineRule="auto"/>
              <w:jc w:val="center"/>
              <w:rPr>
                <w:rFonts w:ascii="宋体" w:hAnsi="宋体" w:eastAsia="宋体" w:cs="宋体"/>
                <w:color w:val="auto"/>
                <w:kern w:val="0"/>
                <w:sz w:val="21"/>
                <w:szCs w:val="21"/>
                <w:highlight w:val="none"/>
                <w:lang w:val="en-US" w:eastAsia="zh-CN" w:bidi="ar-SA"/>
              </w:rPr>
            </w:pPr>
          </w:p>
        </w:tc>
      </w:tr>
      <w:tr w14:paraId="66EC0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2DCE5D92">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总 评</w:t>
            </w:r>
          </w:p>
        </w:tc>
        <w:tc>
          <w:tcPr>
            <w:tcW w:w="7726" w:type="dxa"/>
            <w:gridSpan w:val="3"/>
          </w:tcPr>
          <w:p w14:paraId="13F627B5">
            <w:pPr>
              <w:spacing w:line="240" w:lineRule="auto"/>
              <w:rPr>
                <w:color w:val="auto"/>
                <w:highlight w:val="none"/>
                <w:vertAlign w:val="baseline"/>
              </w:rPr>
            </w:pPr>
            <w:r>
              <w:rPr>
                <w:rFonts w:hint="eastAsia" w:ascii="宋体" w:hAnsi="宋体" w:cs="宋体"/>
                <w:color w:val="auto"/>
                <w:kern w:val="0"/>
                <w:sz w:val="21"/>
                <w:szCs w:val="21"/>
                <w:highlight w:val="none"/>
              </w:rPr>
              <w:t>95分以上优秀  90分以上良好  80分以上合格  70分以下不合格</w:t>
            </w:r>
          </w:p>
        </w:tc>
        <w:tc>
          <w:tcPr>
            <w:tcW w:w="762" w:type="dxa"/>
          </w:tcPr>
          <w:p w14:paraId="72F22278">
            <w:pPr>
              <w:spacing w:line="240" w:lineRule="auto"/>
              <w:rPr>
                <w:color w:val="auto"/>
                <w:highlight w:val="none"/>
                <w:vertAlign w:val="baseline"/>
              </w:rPr>
            </w:pPr>
          </w:p>
        </w:tc>
      </w:tr>
      <w:tr w14:paraId="1981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3B0A9162">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rPr>
              <w:t>扣分情况</w:t>
            </w:r>
          </w:p>
        </w:tc>
        <w:tc>
          <w:tcPr>
            <w:tcW w:w="8488" w:type="dxa"/>
            <w:gridSpan w:val="4"/>
          </w:tcPr>
          <w:p w14:paraId="4DFF3B37">
            <w:pPr>
              <w:spacing w:line="240" w:lineRule="auto"/>
              <w:rPr>
                <w:color w:val="auto"/>
                <w:highlight w:val="none"/>
                <w:vertAlign w:val="baseline"/>
              </w:rPr>
            </w:pPr>
          </w:p>
        </w:tc>
      </w:tr>
      <w:tr w14:paraId="70122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08A000F6">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考评组成员</w:t>
            </w:r>
          </w:p>
        </w:tc>
        <w:tc>
          <w:tcPr>
            <w:tcW w:w="8488" w:type="dxa"/>
            <w:gridSpan w:val="4"/>
            <w:vAlign w:val="center"/>
          </w:tcPr>
          <w:p w14:paraId="14B56111">
            <w:pPr>
              <w:spacing w:line="240" w:lineRule="auto"/>
              <w:jc w:val="left"/>
              <w:rPr>
                <w:rFonts w:ascii="宋体" w:hAnsi="宋体"/>
                <w:color w:val="auto"/>
                <w:szCs w:val="21"/>
                <w:highlight w:val="none"/>
              </w:rPr>
            </w:pPr>
          </w:p>
          <w:p w14:paraId="1940EE9F">
            <w:pPr>
              <w:pStyle w:val="84"/>
              <w:spacing w:line="240" w:lineRule="auto"/>
              <w:ind w:left="360" w:leftChars="0" w:firstLine="0" w:firstLineChars="0"/>
              <w:jc w:val="lef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 xml:space="preserve">                                            年      月     日</w:t>
            </w:r>
          </w:p>
        </w:tc>
      </w:tr>
      <w:tr w14:paraId="60FC3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14:paraId="04D46EA6">
            <w:pPr>
              <w:spacing w:line="240" w:lineRule="auto"/>
              <w:jc w:val="center"/>
              <w:rPr>
                <w:rFonts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被考评公司意见</w:t>
            </w:r>
          </w:p>
        </w:tc>
        <w:tc>
          <w:tcPr>
            <w:tcW w:w="8488" w:type="dxa"/>
            <w:gridSpan w:val="4"/>
            <w:vAlign w:val="center"/>
          </w:tcPr>
          <w:p w14:paraId="1C71D11A">
            <w:pPr>
              <w:spacing w:line="240" w:lineRule="auto"/>
              <w:jc w:val="center"/>
              <w:rPr>
                <w:rFonts w:hint="eastAsia" w:ascii="宋体" w:hAnsi="宋体"/>
                <w:color w:val="auto"/>
                <w:szCs w:val="21"/>
                <w:highlight w:val="none"/>
              </w:rPr>
            </w:pPr>
          </w:p>
          <w:p w14:paraId="25CF79D1">
            <w:pPr>
              <w:spacing w:line="240" w:lineRule="auto"/>
              <w:jc w:val="center"/>
              <w:rPr>
                <w:rFonts w:hint="eastAsia" w:ascii="宋体" w:hAnsi="宋体"/>
                <w:color w:val="auto"/>
                <w:szCs w:val="21"/>
                <w:highlight w:val="none"/>
              </w:rPr>
            </w:pPr>
          </w:p>
          <w:p w14:paraId="0330DC89">
            <w:pPr>
              <w:spacing w:line="240" w:lineRule="auto"/>
              <w:jc w:val="center"/>
              <w:rPr>
                <w:rFonts w:ascii="宋体" w:hAnsi="宋体"/>
                <w:color w:val="auto"/>
                <w:szCs w:val="21"/>
                <w:highlight w:val="none"/>
              </w:rPr>
            </w:pPr>
            <w:r>
              <w:rPr>
                <w:rFonts w:hint="eastAsia" w:ascii="宋体" w:hAnsi="宋体"/>
                <w:color w:val="auto"/>
                <w:szCs w:val="21"/>
                <w:highlight w:val="none"/>
              </w:rPr>
              <w:t xml:space="preserve">                                             </w:t>
            </w:r>
          </w:p>
          <w:p w14:paraId="7043A1DD">
            <w:pPr>
              <w:spacing w:line="240" w:lineRule="auto"/>
              <w:jc w:val="center"/>
              <w:rPr>
                <w:rFonts w:ascii="宋体" w:hAnsi="宋体" w:eastAsia="宋体" w:cs="宋体"/>
                <w:b/>
                <w:color w:val="auto"/>
                <w:kern w:val="0"/>
                <w:sz w:val="28"/>
                <w:szCs w:val="28"/>
                <w:highlight w:val="none"/>
                <w:lang w:val="en-US" w:eastAsia="zh-CN" w:bidi="ar-SA"/>
              </w:rPr>
            </w:pPr>
            <w:r>
              <w:rPr>
                <w:rFonts w:hint="eastAsia" w:ascii="宋体" w:hAnsi="宋体"/>
                <w:color w:val="auto"/>
                <w:szCs w:val="21"/>
                <w:highlight w:val="none"/>
              </w:rPr>
              <w:t xml:space="preserve">                       负责人签字：          年      月     日</w:t>
            </w:r>
          </w:p>
        </w:tc>
      </w:tr>
    </w:tbl>
    <w:p w14:paraId="41AE5B32">
      <w:pPr>
        <w:pStyle w:val="35"/>
        <w:ind w:left="0" w:leftChars="0" w:firstLine="0" w:firstLineChars="0"/>
        <w:rPr>
          <w:rFonts w:hint="default" w:ascii="宋体" w:hAnsi="宋体" w:eastAsia="宋体" w:cs="宋体"/>
          <w:color w:val="auto"/>
          <w:sz w:val="32"/>
          <w:szCs w:val="32"/>
          <w:highlight w:val="none"/>
          <w:lang w:val="en-US" w:eastAsia="zh-CN"/>
        </w:rPr>
      </w:pP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PMingLiU-ExtB">
    <w:panose1 w:val="02020500000000000000"/>
    <w:charset w:val="88"/>
    <w:family w:val="auto"/>
    <w:pitch w:val="default"/>
    <w:sig w:usb0="8000002F" w:usb1="02000008" w:usb2="00000000" w:usb3="00000000" w:csb0="00100001" w:csb1="00000000"/>
  </w:font>
  <w:font w:name="方正小标宋_GBK">
    <w:altName w:val="微软雅黑"/>
    <w:panose1 w:val="03000509000000000000"/>
    <w:charset w:val="86"/>
    <w:family w:val="script"/>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等线">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4013">
    <w:pPr>
      <w:pStyle w:val="26"/>
      <w:jc w:val="center"/>
    </w:pPr>
    <w:r>
      <w:fldChar w:fldCharType="begin"/>
    </w:r>
    <w:r>
      <w:instrText xml:space="preserve">PAGE   \* MERGEFORMAT</w:instrText>
    </w:r>
    <w:r>
      <w:fldChar w:fldCharType="separate"/>
    </w:r>
    <w:r>
      <w:rPr>
        <w:lang w:val="zh-CN"/>
      </w:rPr>
      <w:t>2</w:t>
    </w:r>
    <w:r>
      <w:fldChar w:fldCharType="end"/>
    </w:r>
  </w:p>
  <w:p w14:paraId="0300ED6E">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7FC98">
    <w:pPr>
      <w:pStyle w:val="27"/>
      <w:pBdr>
        <w:bottom w:val="none" w:color="auto" w:sz="0" w:space="0"/>
      </w:pBdr>
    </w:pPr>
    <w:r>
      <mc:AlternateContent>
        <mc:Choice Requires="wps">
          <w:drawing>
            <wp:anchor distT="0" distB="0" distL="0" distR="0" simplePos="0" relativeHeight="251661312" behindDoc="0" locked="0" layoutInCell="1" allowOverlap="1">
              <wp:simplePos x="0" y="0"/>
              <wp:positionH relativeFrom="page">
                <wp:align>right</wp:align>
              </wp:positionH>
              <wp:positionV relativeFrom="page">
                <wp:align>top</wp:align>
              </wp:positionV>
              <wp:extent cx="443865" cy="443865"/>
              <wp:effectExtent l="0" t="0" r="0" b="16510"/>
              <wp:wrapNone/>
              <wp:docPr id="5" name="文本框 5"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CD627">
                          <w:pPr>
                            <w:rPr>
                              <w:rFonts w:ascii="Arial" w:hAnsi="Arial" w:eastAsia="Arial" w:cs="Arial"/>
                              <w:color w:val="000000"/>
                              <w:sz w:val="16"/>
                              <w:szCs w:val="16"/>
                            </w:rPr>
                          </w:pP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1312;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PDv7GtQAAAADAQAADwAAAAAAAAABACAAAAAiAAAAZHJzL2Rv&#10;d25yZXYueG1sUEsBAhQAFAAAAAgAh07iQCD8Rt8+AgAAagQAAA4AAAAAAAAAAQAgAAAAIwEAAGRy&#10;cy9lMm9Eb2MueG1sUEsFBgAAAAAGAAYAWQEAANMFAAAAAA==&#10;">
              <v:fill on="f" focussize="0,0"/>
              <v:stroke on="f"/>
              <v:imagedata o:title=""/>
              <o:lock v:ext="edit" aspectratio="f"/>
              <v:textbox inset="0mm,15pt,20pt,0mm" style="mso-fit-shape-to-text:t;">
                <w:txbxContent>
                  <w:p w14:paraId="5DBCD627">
                    <w:pPr>
                      <w:rPr>
                        <w:rFonts w:ascii="Arial" w:hAnsi="Arial" w:eastAsia="Arial" w:cs="Arial"/>
                        <w:color w:val="000000"/>
                        <w:sz w:val="16"/>
                        <w:szCs w:val="16"/>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448BA">
    <w:pPr>
      <w:pStyle w:val="27"/>
    </w:pPr>
    <w:r>
      <mc:AlternateContent>
        <mc:Choice Requires="wps">
          <w:drawing>
            <wp:anchor distT="0" distB="0" distL="0" distR="0" simplePos="0" relativeHeight="251660288" behindDoc="0" locked="0" layoutInCell="1" allowOverlap="1">
              <wp:simplePos x="0" y="0"/>
              <wp:positionH relativeFrom="page">
                <wp:align>right</wp:align>
              </wp:positionH>
              <wp:positionV relativeFrom="page">
                <wp:align>top</wp:align>
              </wp:positionV>
              <wp:extent cx="443865" cy="443865"/>
              <wp:effectExtent l="0" t="0" r="0" b="16510"/>
              <wp:wrapNone/>
              <wp:docPr id="4" name="文本框 4"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1EF2E4">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60288;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Dw7+xrUAAAAAwEAAA8AAAAAAAAAAQAgAAAAIgAAAGRycy9k&#10;b3ducmV2LnhtbFBLAQIUABQAAAAIAIdO4kAKwCJ3PwIAAGoEAAAOAAAAAAAAAAEAIAAAACMBAABk&#10;cnMvZTJvRG9jLnhtbFBLBQYAAAAABgAGAFkBAADUBQAAAAA=&#10;">
              <v:fill on="f" focussize="0,0"/>
              <v:stroke on="f"/>
              <v:imagedata o:title=""/>
              <o:lock v:ext="edit" aspectratio="f"/>
              <v:textbox inset="0mm,15pt,20pt,0mm" style="mso-fit-shape-to-text:t;">
                <w:txbxContent>
                  <w:p w14:paraId="1E1EF2E4">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71E2">
    <w:pPr>
      <w:pStyle w:val="27"/>
    </w:pPr>
    <w:r>
      <mc:AlternateContent>
        <mc:Choice Requires="wps">
          <w:drawing>
            <wp:anchor distT="0" distB="0" distL="0" distR="0" simplePos="0" relativeHeight="251659264" behindDoc="0" locked="0" layoutInCell="1" allowOverlap="1">
              <wp:simplePos x="0" y="0"/>
              <wp:positionH relativeFrom="page">
                <wp:align>right</wp:align>
              </wp:positionH>
              <wp:positionV relativeFrom="page">
                <wp:align>top</wp:align>
              </wp:positionV>
              <wp:extent cx="443865" cy="443865"/>
              <wp:effectExtent l="0" t="0" r="0" b="16510"/>
              <wp:wrapNone/>
              <wp:docPr id="3" name="文本框 3" descr="KONE Intern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93219D">
                          <w:pPr>
                            <w:rPr>
                              <w:rFonts w:ascii="Arial" w:hAnsi="Arial" w:eastAsia="Arial" w:cs="Arial"/>
                              <w:color w:val="000000"/>
                              <w:sz w:val="16"/>
                              <w:szCs w:val="16"/>
                            </w:rPr>
                          </w:pPr>
                          <w:r>
                            <w:rPr>
                              <w:rFonts w:ascii="Arial" w:hAnsi="Arial" w:eastAsia="Arial" w:cs="Arial"/>
                              <w:color w:val="000000"/>
                              <w:sz w:val="16"/>
                              <w:szCs w:val="16"/>
                            </w:rPr>
                            <w:t>KONE Internal</w:t>
                          </w:r>
                        </w:p>
                      </w:txbxContent>
                    </wps:txbx>
                    <wps:bodyPr rot="0" spcFirstLastPara="0" vertOverflow="overflow" horzOverflow="overflow" vert="horz" wrap="none" lIns="0" tIns="190500" rIns="254000" bIns="0" numCol="1" spcCol="0" rtlCol="0" fromWordArt="0" anchor="t" anchorCtr="0" forceAA="0" compatLnSpc="1">
                      <a:spAutoFit/>
                    </wps:bodyPr>
                  </wps:wsp>
                </a:graphicData>
              </a:graphic>
            </wp:anchor>
          </w:drawing>
        </mc:Choice>
        <mc:Fallback>
          <w:pict>
            <v:shape id="_x0000_s1026" o:spid="_x0000_s1026" o:spt="202" alt="KONE Internal" type="#_x0000_t202" style="position:absolute;left:0pt;height:34.95pt;width:34.95pt;mso-position-horizontal:right;mso-position-horizontal-relative:page;mso-position-vertical:top;mso-position-vertical-relative:page;mso-wrap-style:none;z-index:251659264;mso-width-relative:page;mso-height-relative:page;" filled="f" stroked="f" coordsize="21600,21600" o:gfxdata="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8O/sa1AAAAAMBAAAPAAAAAAAAAAEAIAAAACIAAABkcnMv&#10;ZG93bnJldi54bWxQSwECFAAUAAAACACHTuJAXnj8mEACAABqBAAADgAAAAAAAAABACAAAAAjAQAA&#10;ZHJzL2Uyb0RvYy54bWxQSwUGAAAAAAYABgBZAQAA1QUAAAAA&#10;">
              <v:fill on="f" focussize="0,0"/>
              <v:stroke on="f"/>
              <v:imagedata o:title=""/>
              <o:lock v:ext="edit" aspectratio="f"/>
              <v:textbox inset="0mm,15pt,20pt,0mm" style="mso-fit-shape-to-text:t;">
                <w:txbxContent>
                  <w:p w14:paraId="1493219D">
                    <w:pPr>
                      <w:rPr>
                        <w:rFonts w:ascii="Arial" w:hAnsi="Arial" w:eastAsia="Arial" w:cs="Arial"/>
                        <w:color w:val="000000"/>
                        <w:sz w:val="16"/>
                        <w:szCs w:val="16"/>
                      </w:rPr>
                    </w:pPr>
                    <w:r>
                      <w:rPr>
                        <w:rFonts w:ascii="Arial" w:hAnsi="Arial" w:eastAsia="Arial" w:cs="Arial"/>
                        <w:color w:val="000000"/>
                        <w:sz w:val="16"/>
                        <w:szCs w:val="16"/>
                      </w:rPr>
                      <w:t>KONE Internal</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FE49BB"/>
    <w:multiLevelType w:val="singleLevel"/>
    <w:tmpl w:val="A7FE49BB"/>
    <w:lvl w:ilvl="0" w:tentative="0">
      <w:start w:val="1"/>
      <w:numFmt w:val="decimal"/>
      <w:lvlText w:val="%1."/>
      <w:lvlJc w:val="left"/>
      <w:pPr>
        <w:tabs>
          <w:tab w:val="left" w:pos="312"/>
        </w:tabs>
      </w:pPr>
    </w:lvl>
  </w:abstractNum>
  <w:abstractNum w:abstractNumId="1">
    <w:nsid w:val="38DA3F37"/>
    <w:multiLevelType w:val="multilevel"/>
    <w:tmpl w:val="38DA3F37"/>
    <w:lvl w:ilvl="0" w:tentative="0">
      <w:start w:val="1"/>
      <w:numFmt w:val="bullet"/>
      <w:pStyle w:val="128"/>
      <w:lvlText w:val=""/>
      <w:lvlJc w:val="left"/>
      <w:pPr>
        <w:tabs>
          <w:tab w:val="left" w:pos="480"/>
        </w:tabs>
        <w:ind w:left="480" w:hanging="480"/>
      </w:pPr>
      <w:rPr>
        <w:rFonts w:hint="default" w:ascii="Wingdings" w:hAnsi="Wingdings"/>
        <w:sz w:val="16"/>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2">
    <w:nsid w:val="3FA3F3EC"/>
    <w:multiLevelType w:val="singleLevel"/>
    <w:tmpl w:val="3FA3F3EC"/>
    <w:lvl w:ilvl="0" w:tentative="0">
      <w:start w:val="1"/>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3YmZiMGQ4YmRhNTFiMDg4Mjg4MGE0NzQ2OWNhYWEifQ=="/>
    <w:docVar w:name="KGWebUrl" w:val="http://jszfcg.jsczt.cn/jszc/gateWay/joffice/office?access_token=300b1800-803d-425e-b7b3-99806d8150e4"/>
    <w:docVar w:name="KSO_WPS_MARK_KEY" w:val="dc9524e9-0d5f-4bc5-b642-c69acf49d3a8"/>
  </w:docVars>
  <w:rsids>
    <w:rsidRoot w:val="0066708D"/>
    <w:rsid w:val="00000546"/>
    <w:rsid w:val="00000AB2"/>
    <w:rsid w:val="00001A88"/>
    <w:rsid w:val="00002A9B"/>
    <w:rsid w:val="00005EBA"/>
    <w:rsid w:val="000065AF"/>
    <w:rsid w:val="000103FA"/>
    <w:rsid w:val="00010733"/>
    <w:rsid w:val="0001111D"/>
    <w:rsid w:val="00011C32"/>
    <w:rsid w:val="00012EF0"/>
    <w:rsid w:val="000140D0"/>
    <w:rsid w:val="000144B7"/>
    <w:rsid w:val="00015136"/>
    <w:rsid w:val="00015ECD"/>
    <w:rsid w:val="000176B2"/>
    <w:rsid w:val="0001787A"/>
    <w:rsid w:val="000207EA"/>
    <w:rsid w:val="00020819"/>
    <w:rsid w:val="00020C52"/>
    <w:rsid w:val="0002112A"/>
    <w:rsid w:val="0002154A"/>
    <w:rsid w:val="00021B3F"/>
    <w:rsid w:val="0002219B"/>
    <w:rsid w:val="00023545"/>
    <w:rsid w:val="00023C3F"/>
    <w:rsid w:val="0002458D"/>
    <w:rsid w:val="0002533A"/>
    <w:rsid w:val="0002708D"/>
    <w:rsid w:val="000274F9"/>
    <w:rsid w:val="000277CD"/>
    <w:rsid w:val="00031AD6"/>
    <w:rsid w:val="00033FA3"/>
    <w:rsid w:val="00034346"/>
    <w:rsid w:val="00035051"/>
    <w:rsid w:val="000356E5"/>
    <w:rsid w:val="0003652A"/>
    <w:rsid w:val="00036F7E"/>
    <w:rsid w:val="00036FA3"/>
    <w:rsid w:val="00040669"/>
    <w:rsid w:val="0004264E"/>
    <w:rsid w:val="000431E3"/>
    <w:rsid w:val="0004496E"/>
    <w:rsid w:val="00044A66"/>
    <w:rsid w:val="00044ADE"/>
    <w:rsid w:val="000455CF"/>
    <w:rsid w:val="00045858"/>
    <w:rsid w:val="00046734"/>
    <w:rsid w:val="00046E7F"/>
    <w:rsid w:val="00047C17"/>
    <w:rsid w:val="00053E7A"/>
    <w:rsid w:val="0005583D"/>
    <w:rsid w:val="00056741"/>
    <w:rsid w:val="00056FCA"/>
    <w:rsid w:val="00057B6D"/>
    <w:rsid w:val="00057FCA"/>
    <w:rsid w:val="0006048F"/>
    <w:rsid w:val="000623F5"/>
    <w:rsid w:val="00062FB2"/>
    <w:rsid w:val="00063271"/>
    <w:rsid w:val="0006339F"/>
    <w:rsid w:val="000634B6"/>
    <w:rsid w:val="00065F50"/>
    <w:rsid w:val="000667DA"/>
    <w:rsid w:val="000668A4"/>
    <w:rsid w:val="0006738D"/>
    <w:rsid w:val="00067715"/>
    <w:rsid w:val="00067F36"/>
    <w:rsid w:val="000713A7"/>
    <w:rsid w:val="00071E47"/>
    <w:rsid w:val="00071F57"/>
    <w:rsid w:val="0007260D"/>
    <w:rsid w:val="00073424"/>
    <w:rsid w:val="00073BED"/>
    <w:rsid w:val="00074988"/>
    <w:rsid w:val="0007540B"/>
    <w:rsid w:val="00075842"/>
    <w:rsid w:val="00076AE9"/>
    <w:rsid w:val="00076F71"/>
    <w:rsid w:val="0007742F"/>
    <w:rsid w:val="0008009E"/>
    <w:rsid w:val="0008018D"/>
    <w:rsid w:val="00081396"/>
    <w:rsid w:val="00082843"/>
    <w:rsid w:val="00082CBF"/>
    <w:rsid w:val="00083333"/>
    <w:rsid w:val="000839F1"/>
    <w:rsid w:val="00084436"/>
    <w:rsid w:val="00084DE0"/>
    <w:rsid w:val="00085157"/>
    <w:rsid w:val="00085D79"/>
    <w:rsid w:val="00085EFE"/>
    <w:rsid w:val="00085F42"/>
    <w:rsid w:val="00085F63"/>
    <w:rsid w:val="000860FE"/>
    <w:rsid w:val="0008766A"/>
    <w:rsid w:val="00090915"/>
    <w:rsid w:val="00090BE7"/>
    <w:rsid w:val="00091CD8"/>
    <w:rsid w:val="0009490F"/>
    <w:rsid w:val="00094B87"/>
    <w:rsid w:val="000954BA"/>
    <w:rsid w:val="0009592A"/>
    <w:rsid w:val="0009616F"/>
    <w:rsid w:val="00096BFB"/>
    <w:rsid w:val="00097BCB"/>
    <w:rsid w:val="000A096A"/>
    <w:rsid w:val="000A0EF7"/>
    <w:rsid w:val="000A0EF8"/>
    <w:rsid w:val="000A15A0"/>
    <w:rsid w:val="000A2563"/>
    <w:rsid w:val="000A3F28"/>
    <w:rsid w:val="000A5187"/>
    <w:rsid w:val="000A57C8"/>
    <w:rsid w:val="000A58DC"/>
    <w:rsid w:val="000A7BC8"/>
    <w:rsid w:val="000A7EB6"/>
    <w:rsid w:val="000A7F6B"/>
    <w:rsid w:val="000B003D"/>
    <w:rsid w:val="000B07BD"/>
    <w:rsid w:val="000B0A49"/>
    <w:rsid w:val="000B15CC"/>
    <w:rsid w:val="000B1722"/>
    <w:rsid w:val="000B3041"/>
    <w:rsid w:val="000B5449"/>
    <w:rsid w:val="000B5677"/>
    <w:rsid w:val="000B58E2"/>
    <w:rsid w:val="000B6AFD"/>
    <w:rsid w:val="000B78B3"/>
    <w:rsid w:val="000B7CF5"/>
    <w:rsid w:val="000C0636"/>
    <w:rsid w:val="000C0D0D"/>
    <w:rsid w:val="000C25FD"/>
    <w:rsid w:val="000C3603"/>
    <w:rsid w:val="000C4F19"/>
    <w:rsid w:val="000C515F"/>
    <w:rsid w:val="000C54C8"/>
    <w:rsid w:val="000C58C8"/>
    <w:rsid w:val="000C6322"/>
    <w:rsid w:val="000C661B"/>
    <w:rsid w:val="000C6D20"/>
    <w:rsid w:val="000C6FFF"/>
    <w:rsid w:val="000C7774"/>
    <w:rsid w:val="000D0DE2"/>
    <w:rsid w:val="000D190E"/>
    <w:rsid w:val="000D1FC9"/>
    <w:rsid w:val="000D2BD4"/>
    <w:rsid w:val="000D2EFF"/>
    <w:rsid w:val="000D455E"/>
    <w:rsid w:val="000D4848"/>
    <w:rsid w:val="000D4C7D"/>
    <w:rsid w:val="000D53CE"/>
    <w:rsid w:val="000D5A2E"/>
    <w:rsid w:val="000D5A42"/>
    <w:rsid w:val="000D5B2C"/>
    <w:rsid w:val="000D63AA"/>
    <w:rsid w:val="000D682C"/>
    <w:rsid w:val="000D6D29"/>
    <w:rsid w:val="000D7507"/>
    <w:rsid w:val="000D7E1A"/>
    <w:rsid w:val="000E0BDF"/>
    <w:rsid w:val="000E13C5"/>
    <w:rsid w:val="000E190A"/>
    <w:rsid w:val="000E29B5"/>
    <w:rsid w:val="000E3129"/>
    <w:rsid w:val="000E3178"/>
    <w:rsid w:val="000E386B"/>
    <w:rsid w:val="000E3BA3"/>
    <w:rsid w:val="000E458D"/>
    <w:rsid w:val="000E66B5"/>
    <w:rsid w:val="000E6876"/>
    <w:rsid w:val="000E69A2"/>
    <w:rsid w:val="000E6D6C"/>
    <w:rsid w:val="000E76D0"/>
    <w:rsid w:val="000E7DCC"/>
    <w:rsid w:val="000F07A2"/>
    <w:rsid w:val="000F11C4"/>
    <w:rsid w:val="000F1FA3"/>
    <w:rsid w:val="000F3E9B"/>
    <w:rsid w:val="000F4096"/>
    <w:rsid w:val="000F4358"/>
    <w:rsid w:val="000F4E0F"/>
    <w:rsid w:val="000F553D"/>
    <w:rsid w:val="000F5999"/>
    <w:rsid w:val="000F5CF5"/>
    <w:rsid w:val="000F63C9"/>
    <w:rsid w:val="000F7710"/>
    <w:rsid w:val="000F7B55"/>
    <w:rsid w:val="000F7E6C"/>
    <w:rsid w:val="00100340"/>
    <w:rsid w:val="001009A1"/>
    <w:rsid w:val="001019ED"/>
    <w:rsid w:val="00102701"/>
    <w:rsid w:val="00102AE0"/>
    <w:rsid w:val="00103948"/>
    <w:rsid w:val="00104837"/>
    <w:rsid w:val="00104B62"/>
    <w:rsid w:val="00104F7C"/>
    <w:rsid w:val="001053C5"/>
    <w:rsid w:val="001072DB"/>
    <w:rsid w:val="00107435"/>
    <w:rsid w:val="001106D9"/>
    <w:rsid w:val="0011159C"/>
    <w:rsid w:val="00113481"/>
    <w:rsid w:val="00113BB9"/>
    <w:rsid w:val="00114978"/>
    <w:rsid w:val="00114F16"/>
    <w:rsid w:val="001153F6"/>
    <w:rsid w:val="001178DB"/>
    <w:rsid w:val="00117AFB"/>
    <w:rsid w:val="00117E6F"/>
    <w:rsid w:val="00122C11"/>
    <w:rsid w:val="00123015"/>
    <w:rsid w:val="001231D6"/>
    <w:rsid w:val="00126278"/>
    <w:rsid w:val="00130180"/>
    <w:rsid w:val="00131BEC"/>
    <w:rsid w:val="00131DDD"/>
    <w:rsid w:val="0013222E"/>
    <w:rsid w:val="0013301F"/>
    <w:rsid w:val="0013336A"/>
    <w:rsid w:val="00133842"/>
    <w:rsid w:val="00133A76"/>
    <w:rsid w:val="00134655"/>
    <w:rsid w:val="0013596A"/>
    <w:rsid w:val="00135ACB"/>
    <w:rsid w:val="00135FAC"/>
    <w:rsid w:val="001363E8"/>
    <w:rsid w:val="0013686A"/>
    <w:rsid w:val="00136C12"/>
    <w:rsid w:val="00142F1A"/>
    <w:rsid w:val="00144AE9"/>
    <w:rsid w:val="00145A1C"/>
    <w:rsid w:val="001462E0"/>
    <w:rsid w:val="00146479"/>
    <w:rsid w:val="00146643"/>
    <w:rsid w:val="00147766"/>
    <w:rsid w:val="00152826"/>
    <w:rsid w:val="001546EC"/>
    <w:rsid w:val="0015474F"/>
    <w:rsid w:val="00154AF5"/>
    <w:rsid w:val="001550C0"/>
    <w:rsid w:val="00155ECE"/>
    <w:rsid w:val="0015612C"/>
    <w:rsid w:val="00156E3A"/>
    <w:rsid w:val="00157D64"/>
    <w:rsid w:val="001608D5"/>
    <w:rsid w:val="00161A82"/>
    <w:rsid w:val="0016272D"/>
    <w:rsid w:val="00162CC5"/>
    <w:rsid w:val="00163284"/>
    <w:rsid w:val="00163A7C"/>
    <w:rsid w:val="00164509"/>
    <w:rsid w:val="001655B9"/>
    <w:rsid w:val="001665AB"/>
    <w:rsid w:val="0016728C"/>
    <w:rsid w:val="00167E2D"/>
    <w:rsid w:val="00167EC9"/>
    <w:rsid w:val="001702F5"/>
    <w:rsid w:val="001703A3"/>
    <w:rsid w:val="00170B76"/>
    <w:rsid w:val="00172460"/>
    <w:rsid w:val="0017266D"/>
    <w:rsid w:val="0017324A"/>
    <w:rsid w:val="0017377A"/>
    <w:rsid w:val="001742F6"/>
    <w:rsid w:val="001745FF"/>
    <w:rsid w:val="001748AC"/>
    <w:rsid w:val="0017497C"/>
    <w:rsid w:val="00174EF5"/>
    <w:rsid w:val="001765AB"/>
    <w:rsid w:val="00177023"/>
    <w:rsid w:val="001770E3"/>
    <w:rsid w:val="00177438"/>
    <w:rsid w:val="00181911"/>
    <w:rsid w:val="001820D2"/>
    <w:rsid w:val="00182509"/>
    <w:rsid w:val="001838FE"/>
    <w:rsid w:val="00183A3A"/>
    <w:rsid w:val="00184AD9"/>
    <w:rsid w:val="00184AF5"/>
    <w:rsid w:val="00185828"/>
    <w:rsid w:val="00185A94"/>
    <w:rsid w:val="00186126"/>
    <w:rsid w:val="0018665E"/>
    <w:rsid w:val="00186DF5"/>
    <w:rsid w:val="001875B3"/>
    <w:rsid w:val="0019010A"/>
    <w:rsid w:val="001902EE"/>
    <w:rsid w:val="0019058C"/>
    <w:rsid w:val="00192A38"/>
    <w:rsid w:val="0019303E"/>
    <w:rsid w:val="00193AA3"/>
    <w:rsid w:val="00193F84"/>
    <w:rsid w:val="0019554C"/>
    <w:rsid w:val="0019566E"/>
    <w:rsid w:val="00195BE1"/>
    <w:rsid w:val="00195FAC"/>
    <w:rsid w:val="001964AF"/>
    <w:rsid w:val="001964E7"/>
    <w:rsid w:val="00196542"/>
    <w:rsid w:val="0019670E"/>
    <w:rsid w:val="001A0707"/>
    <w:rsid w:val="001A14DF"/>
    <w:rsid w:val="001A2111"/>
    <w:rsid w:val="001A4E8F"/>
    <w:rsid w:val="001A51B7"/>
    <w:rsid w:val="001A57C2"/>
    <w:rsid w:val="001A7795"/>
    <w:rsid w:val="001A7B4C"/>
    <w:rsid w:val="001A7BFE"/>
    <w:rsid w:val="001B01C6"/>
    <w:rsid w:val="001B14E0"/>
    <w:rsid w:val="001B1E96"/>
    <w:rsid w:val="001B3348"/>
    <w:rsid w:val="001B4291"/>
    <w:rsid w:val="001B5076"/>
    <w:rsid w:val="001B5244"/>
    <w:rsid w:val="001B56B0"/>
    <w:rsid w:val="001B6558"/>
    <w:rsid w:val="001B6C7A"/>
    <w:rsid w:val="001B7843"/>
    <w:rsid w:val="001B7F42"/>
    <w:rsid w:val="001C0AC4"/>
    <w:rsid w:val="001C170B"/>
    <w:rsid w:val="001C20B6"/>
    <w:rsid w:val="001C3F12"/>
    <w:rsid w:val="001C3F14"/>
    <w:rsid w:val="001C3F6B"/>
    <w:rsid w:val="001C507C"/>
    <w:rsid w:val="001C7569"/>
    <w:rsid w:val="001C7754"/>
    <w:rsid w:val="001C78FA"/>
    <w:rsid w:val="001D07F0"/>
    <w:rsid w:val="001D0D3C"/>
    <w:rsid w:val="001D186B"/>
    <w:rsid w:val="001D1EB2"/>
    <w:rsid w:val="001D2A96"/>
    <w:rsid w:val="001D3142"/>
    <w:rsid w:val="001D46CF"/>
    <w:rsid w:val="001D4B9A"/>
    <w:rsid w:val="001D5309"/>
    <w:rsid w:val="001D5795"/>
    <w:rsid w:val="001D61A5"/>
    <w:rsid w:val="001D6222"/>
    <w:rsid w:val="001D638F"/>
    <w:rsid w:val="001D6765"/>
    <w:rsid w:val="001D6DE3"/>
    <w:rsid w:val="001D6E04"/>
    <w:rsid w:val="001E13F5"/>
    <w:rsid w:val="001E1D55"/>
    <w:rsid w:val="001E220C"/>
    <w:rsid w:val="001E3D01"/>
    <w:rsid w:val="001E5F42"/>
    <w:rsid w:val="001E64A5"/>
    <w:rsid w:val="001E6B99"/>
    <w:rsid w:val="001E72E5"/>
    <w:rsid w:val="001F1467"/>
    <w:rsid w:val="001F1694"/>
    <w:rsid w:val="001F16AE"/>
    <w:rsid w:val="001F1D43"/>
    <w:rsid w:val="001F2610"/>
    <w:rsid w:val="001F34D5"/>
    <w:rsid w:val="001F358D"/>
    <w:rsid w:val="001F466D"/>
    <w:rsid w:val="001F4DEE"/>
    <w:rsid w:val="001F517D"/>
    <w:rsid w:val="001F6156"/>
    <w:rsid w:val="001F635C"/>
    <w:rsid w:val="001F72DB"/>
    <w:rsid w:val="00201A73"/>
    <w:rsid w:val="00201F4E"/>
    <w:rsid w:val="00202420"/>
    <w:rsid w:val="0020349E"/>
    <w:rsid w:val="002034E3"/>
    <w:rsid w:val="00203681"/>
    <w:rsid w:val="00203EB0"/>
    <w:rsid w:val="00204064"/>
    <w:rsid w:val="002044CF"/>
    <w:rsid w:val="00204BAB"/>
    <w:rsid w:val="002057BF"/>
    <w:rsid w:val="00206EDA"/>
    <w:rsid w:val="00207F66"/>
    <w:rsid w:val="00210072"/>
    <w:rsid w:val="00210108"/>
    <w:rsid w:val="002108C1"/>
    <w:rsid w:val="00213737"/>
    <w:rsid w:val="00213A43"/>
    <w:rsid w:val="00214214"/>
    <w:rsid w:val="0021486E"/>
    <w:rsid w:val="0021542F"/>
    <w:rsid w:val="0021700A"/>
    <w:rsid w:val="00217736"/>
    <w:rsid w:val="002203F5"/>
    <w:rsid w:val="00220B3A"/>
    <w:rsid w:val="002238CD"/>
    <w:rsid w:val="00224912"/>
    <w:rsid w:val="00224A02"/>
    <w:rsid w:val="00225AD4"/>
    <w:rsid w:val="00225ED7"/>
    <w:rsid w:val="00227B1A"/>
    <w:rsid w:val="0023036A"/>
    <w:rsid w:val="002304ED"/>
    <w:rsid w:val="00230F76"/>
    <w:rsid w:val="00231953"/>
    <w:rsid w:val="002323C9"/>
    <w:rsid w:val="00232418"/>
    <w:rsid w:val="0023372A"/>
    <w:rsid w:val="00234BC9"/>
    <w:rsid w:val="00237012"/>
    <w:rsid w:val="0023725A"/>
    <w:rsid w:val="0024022F"/>
    <w:rsid w:val="0024032F"/>
    <w:rsid w:val="002406D4"/>
    <w:rsid w:val="00240A90"/>
    <w:rsid w:val="0024151B"/>
    <w:rsid w:val="00241910"/>
    <w:rsid w:val="00241A39"/>
    <w:rsid w:val="00241C90"/>
    <w:rsid w:val="00242A26"/>
    <w:rsid w:val="00243320"/>
    <w:rsid w:val="00244FA6"/>
    <w:rsid w:val="00245BDC"/>
    <w:rsid w:val="00245C24"/>
    <w:rsid w:val="00246E3C"/>
    <w:rsid w:val="00247379"/>
    <w:rsid w:val="00247879"/>
    <w:rsid w:val="00250329"/>
    <w:rsid w:val="002508D3"/>
    <w:rsid w:val="002511DA"/>
    <w:rsid w:val="0025120B"/>
    <w:rsid w:val="00251334"/>
    <w:rsid w:val="0025276A"/>
    <w:rsid w:val="00253B4C"/>
    <w:rsid w:val="002557D2"/>
    <w:rsid w:val="002567F6"/>
    <w:rsid w:val="00256976"/>
    <w:rsid w:val="00256EF8"/>
    <w:rsid w:val="002574B8"/>
    <w:rsid w:val="00260643"/>
    <w:rsid w:val="002610E8"/>
    <w:rsid w:val="002625F8"/>
    <w:rsid w:val="002629C0"/>
    <w:rsid w:val="002630CD"/>
    <w:rsid w:val="0026343B"/>
    <w:rsid w:val="00263475"/>
    <w:rsid w:val="00263FB2"/>
    <w:rsid w:val="002642D6"/>
    <w:rsid w:val="0026460E"/>
    <w:rsid w:val="0026460F"/>
    <w:rsid w:val="00264B46"/>
    <w:rsid w:val="00264E34"/>
    <w:rsid w:val="00264FD3"/>
    <w:rsid w:val="0026519F"/>
    <w:rsid w:val="002655B1"/>
    <w:rsid w:val="0026568D"/>
    <w:rsid w:val="0026582D"/>
    <w:rsid w:val="00266D65"/>
    <w:rsid w:val="002674FC"/>
    <w:rsid w:val="00267C26"/>
    <w:rsid w:val="00267CE1"/>
    <w:rsid w:val="00272FE7"/>
    <w:rsid w:val="00273807"/>
    <w:rsid w:val="002759E6"/>
    <w:rsid w:val="002774F2"/>
    <w:rsid w:val="00277A71"/>
    <w:rsid w:val="00277A7C"/>
    <w:rsid w:val="00280DAA"/>
    <w:rsid w:val="00280F02"/>
    <w:rsid w:val="00281521"/>
    <w:rsid w:val="0028165B"/>
    <w:rsid w:val="0028342A"/>
    <w:rsid w:val="00287D53"/>
    <w:rsid w:val="00290131"/>
    <w:rsid w:val="00290232"/>
    <w:rsid w:val="0029088E"/>
    <w:rsid w:val="0029120D"/>
    <w:rsid w:val="00291528"/>
    <w:rsid w:val="00292989"/>
    <w:rsid w:val="002929E4"/>
    <w:rsid w:val="0029448F"/>
    <w:rsid w:val="002953BA"/>
    <w:rsid w:val="002973FD"/>
    <w:rsid w:val="00297900"/>
    <w:rsid w:val="002A11B9"/>
    <w:rsid w:val="002A1226"/>
    <w:rsid w:val="002A156B"/>
    <w:rsid w:val="002A2121"/>
    <w:rsid w:val="002A221F"/>
    <w:rsid w:val="002A27C2"/>
    <w:rsid w:val="002A28DD"/>
    <w:rsid w:val="002A31EB"/>
    <w:rsid w:val="002A36AA"/>
    <w:rsid w:val="002A432D"/>
    <w:rsid w:val="002A46DC"/>
    <w:rsid w:val="002A537C"/>
    <w:rsid w:val="002A5646"/>
    <w:rsid w:val="002A5B21"/>
    <w:rsid w:val="002A6112"/>
    <w:rsid w:val="002A73E5"/>
    <w:rsid w:val="002A775D"/>
    <w:rsid w:val="002B0137"/>
    <w:rsid w:val="002B2759"/>
    <w:rsid w:val="002B37EB"/>
    <w:rsid w:val="002B405E"/>
    <w:rsid w:val="002B4B4F"/>
    <w:rsid w:val="002B4F8A"/>
    <w:rsid w:val="002B55A3"/>
    <w:rsid w:val="002B6197"/>
    <w:rsid w:val="002B6E98"/>
    <w:rsid w:val="002B766C"/>
    <w:rsid w:val="002B7DA4"/>
    <w:rsid w:val="002C0538"/>
    <w:rsid w:val="002C16D8"/>
    <w:rsid w:val="002C170D"/>
    <w:rsid w:val="002C1F75"/>
    <w:rsid w:val="002C27CB"/>
    <w:rsid w:val="002C465E"/>
    <w:rsid w:val="002C4831"/>
    <w:rsid w:val="002C5D8E"/>
    <w:rsid w:val="002C7464"/>
    <w:rsid w:val="002C7D4D"/>
    <w:rsid w:val="002D039C"/>
    <w:rsid w:val="002D0AED"/>
    <w:rsid w:val="002D0EE5"/>
    <w:rsid w:val="002D123F"/>
    <w:rsid w:val="002D24FF"/>
    <w:rsid w:val="002D32C5"/>
    <w:rsid w:val="002D3D9A"/>
    <w:rsid w:val="002D3DCF"/>
    <w:rsid w:val="002D4AAB"/>
    <w:rsid w:val="002D4FA1"/>
    <w:rsid w:val="002D5175"/>
    <w:rsid w:val="002D5706"/>
    <w:rsid w:val="002D64F0"/>
    <w:rsid w:val="002D6AE9"/>
    <w:rsid w:val="002D71CE"/>
    <w:rsid w:val="002D7415"/>
    <w:rsid w:val="002D7E99"/>
    <w:rsid w:val="002E0187"/>
    <w:rsid w:val="002E0917"/>
    <w:rsid w:val="002E0BAC"/>
    <w:rsid w:val="002E0D30"/>
    <w:rsid w:val="002E11B4"/>
    <w:rsid w:val="002E1B34"/>
    <w:rsid w:val="002E2BB0"/>
    <w:rsid w:val="002E396A"/>
    <w:rsid w:val="002E4D12"/>
    <w:rsid w:val="002E5DDE"/>
    <w:rsid w:val="002E6446"/>
    <w:rsid w:val="002E6A31"/>
    <w:rsid w:val="002E6B1F"/>
    <w:rsid w:val="002E6E72"/>
    <w:rsid w:val="002E72F4"/>
    <w:rsid w:val="002E76B3"/>
    <w:rsid w:val="002E7808"/>
    <w:rsid w:val="002E7FB0"/>
    <w:rsid w:val="002F0578"/>
    <w:rsid w:val="002F0D77"/>
    <w:rsid w:val="002F1659"/>
    <w:rsid w:val="002F354E"/>
    <w:rsid w:val="002F3654"/>
    <w:rsid w:val="002F3A00"/>
    <w:rsid w:val="002F419E"/>
    <w:rsid w:val="002F4C7F"/>
    <w:rsid w:val="002F57E4"/>
    <w:rsid w:val="002F61AE"/>
    <w:rsid w:val="002F68A1"/>
    <w:rsid w:val="002F7741"/>
    <w:rsid w:val="002F7B80"/>
    <w:rsid w:val="002F7E83"/>
    <w:rsid w:val="00300D52"/>
    <w:rsid w:val="003016F6"/>
    <w:rsid w:val="003017D8"/>
    <w:rsid w:val="003017F0"/>
    <w:rsid w:val="00301958"/>
    <w:rsid w:val="00302E96"/>
    <w:rsid w:val="003036FD"/>
    <w:rsid w:val="00303B8F"/>
    <w:rsid w:val="003045D9"/>
    <w:rsid w:val="00304E4E"/>
    <w:rsid w:val="00304FA6"/>
    <w:rsid w:val="00305686"/>
    <w:rsid w:val="00305B5A"/>
    <w:rsid w:val="003068A0"/>
    <w:rsid w:val="00313C9F"/>
    <w:rsid w:val="00314A90"/>
    <w:rsid w:val="00314C91"/>
    <w:rsid w:val="00317669"/>
    <w:rsid w:val="00317F41"/>
    <w:rsid w:val="00321C1B"/>
    <w:rsid w:val="00323BB3"/>
    <w:rsid w:val="00323C57"/>
    <w:rsid w:val="00323F5E"/>
    <w:rsid w:val="003251A6"/>
    <w:rsid w:val="00325DFB"/>
    <w:rsid w:val="00326695"/>
    <w:rsid w:val="00326724"/>
    <w:rsid w:val="00326CD4"/>
    <w:rsid w:val="003276EC"/>
    <w:rsid w:val="0032783F"/>
    <w:rsid w:val="00327A7D"/>
    <w:rsid w:val="00327AA9"/>
    <w:rsid w:val="00327EF8"/>
    <w:rsid w:val="00330AE8"/>
    <w:rsid w:val="003328C0"/>
    <w:rsid w:val="0033346D"/>
    <w:rsid w:val="00333606"/>
    <w:rsid w:val="00333C74"/>
    <w:rsid w:val="00333F95"/>
    <w:rsid w:val="00336FA4"/>
    <w:rsid w:val="003373C4"/>
    <w:rsid w:val="00340043"/>
    <w:rsid w:val="003405C5"/>
    <w:rsid w:val="00340B10"/>
    <w:rsid w:val="00340B9E"/>
    <w:rsid w:val="00341755"/>
    <w:rsid w:val="003418B5"/>
    <w:rsid w:val="00341D0F"/>
    <w:rsid w:val="003429F7"/>
    <w:rsid w:val="00343AF8"/>
    <w:rsid w:val="00344EEB"/>
    <w:rsid w:val="00345001"/>
    <w:rsid w:val="0034558C"/>
    <w:rsid w:val="0034621E"/>
    <w:rsid w:val="003470F7"/>
    <w:rsid w:val="00347E34"/>
    <w:rsid w:val="00350672"/>
    <w:rsid w:val="00350899"/>
    <w:rsid w:val="00351BC2"/>
    <w:rsid w:val="003522CC"/>
    <w:rsid w:val="003526B4"/>
    <w:rsid w:val="00352985"/>
    <w:rsid w:val="003535D6"/>
    <w:rsid w:val="003535E0"/>
    <w:rsid w:val="003549F2"/>
    <w:rsid w:val="00354BDD"/>
    <w:rsid w:val="0035616F"/>
    <w:rsid w:val="003563B1"/>
    <w:rsid w:val="00357154"/>
    <w:rsid w:val="00360F5B"/>
    <w:rsid w:val="00361E8D"/>
    <w:rsid w:val="00362FAE"/>
    <w:rsid w:val="00363883"/>
    <w:rsid w:val="003653F1"/>
    <w:rsid w:val="00365C15"/>
    <w:rsid w:val="00365F0A"/>
    <w:rsid w:val="0036618A"/>
    <w:rsid w:val="00367AEE"/>
    <w:rsid w:val="00367EC3"/>
    <w:rsid w:val="00370716"/>
    <w:rsid w:val="003717BE"/>
    <w:rsid w:val="00371CFC"/>
    <w:rsid w:val="00373C45"/>
    <w:rsid w:val="003741A5"/>
    <w:rsid w:val="00374DC8"/>
    <w:rsid w:val="00374EDA"/>
    <w:rsid w:val="003751D7"/>
    <w:rsid w:val="00375586"/>
    <w:rsid w:val="00376496"/>
    <w:rsid w:val="00376828"/>
    <w:rsid w:val="00376848"/>
    <w:rsid w:val="003777AF"/>
    <w:rsid w:val="00377F76"/>
    <w:rsid w:val="00380270"/>
    <w:rsid w:val="00380302"/>
    <w:rsid w:val="00381EDB"/>
    <w:rsid w:val="003821DE"/>
    <w:rsid w:val="003828B9"/>
    <w:rsid w:val="00382A56"/>
    <w:rsid w:val="0038377B"/>
    <w:rsid w:val="003838D5"/>
    <w:rsid w:val="003847D6"/>
    <w:rsid w:val="0038725A"/>
    <w:rsid w:val="0038781F"/>
    <w:rsid w:val="00387E64"/>
    <w:rsid w:val="00390CF5"/>
    <w:rsid w:val="003926C1"/>
    <w:rsid w:val="003926C9"/>
    <w:rsid w:val="00393134"/>
    <w:rsid w:val="00393422"/>
    <w:rsid w:val="00393BAC"/>
    <w:rsid w:val="0039416E"/>
    <w:rsid w:val="00394C24"/>
    <w:rsid w:val="00394C8F"/>
    <w:rsid w:val="00396451"/>
    <w:rsid w:val="00396F85"/>
    <w:rsid w:val="00397448"/>
    <w:rsid w:val="003A0212"/>
    <w:rsid w:val="003A19CB"/>
    <w:rsid w:val="003A23EC"/>
    <w:rsid w:val="003A2746"/>
    <w:rsid w:val="003A2952"/>
    <w:rsid w:val="003A3D3D"/>
    <w:rsid w:val="003A5070"/>
    <w:rsid w:val="003A56B0"/>
    <w:rsid w:val="003A58EF"/>
    <w:rsid w:val="003A7076"/>
    <w:rsid w:val="003B05BC"/>
    <w:rsid w:val="003B0CEC"/>
    <w:rsid w:val="003B156C"/>
    <w:rsid w:val="003B23CE"/>
    <w:rsid w:val="003B2D19"/>
    <w:rsid w:val="003B5901"/>
    <w:rsid w:val="003B60FA"/>
    <w:rsid w:val="003B64EA"/>
    <w:rsid w:val="003B7B4D"/>
    <w:rsid w:val="003C0ADC"/>
    <w:rsid w:val="003C290B"/>
    <w:rsid w:val="003C69F6"/>
    <w:rsid w:val="003C6BEE"/>
    <w:rsid w:val="003C7549"/>
    <w:rsid w:val="003D0866"/>
    <w:rsid w:val="003D1841"/>
    <w:rsid w:val="003D1E69"/>
    <w:rsid w:val="003D201B"/>
    <w:rsid w:val="003D3555"/>
    <w:rsid w:val="003D3C66"/>
    <w:rsid w:val="003D3C71"/>
    <w:rsid w:val="003D419D"/>
    <w:rsid w:val="003D4480"/>
    <w:rsid w:val="003D59CF"/>
    <w:rsid w:val="003E017B"/>
    <w:rsid w:val="003E154C"/>
    <w:rsid w:val="003E3316"/>
    <w:rsid w:val="003E36FF"/>
    <w:rsid w:val="003E3A6B"/>
    <w:rsid w:val="003E3FE6"/>
    <w:rsid w:val="003E4653"/>
    <w:rsid w:val="003E4C9C"/>
    <w:rsid w:val="003E5334"/>
    <w:rsid w:val="003E5B3D"/>
    <w:rsid w:val="003E5F84"/>
    <w:rsid w:val="003E6B15"/>
    <w:rsid w:val="003E6C59"/>
    <w:rsid w:val="003E6E66"/>
    <w:rsid w:val="003E71C6"/>
    <w:rsid w:val="003E75C3"/>
    <w:rsid w:val="003E7911"/>
    <w:rsid w:val="003E7EB7"/>
    <w:rsid w:val="003F1302"/>
    <w:rsid w:val="003F1DF8"/>
    <w:rsid w:val="003F2792"/>
    <w:rsid w:val="003F291E"/>
    <w:rsid w:val="003F3CDE"/>
    <w:rsid w:val="003F4CA5"/>
    <w:rsid w:val="003F5766"/>
    <w:rsid w:val="003F5F8E"/>
    <w:rsid w:val="003F6ABB"/>
    <w:rsid w:val="003F73A5"/>
    <w:rsid w:val="004016E9"/>
    <w:rsid w:val="00401799"/>
    <w:rsid w:val="00401EA0"/>
    <w:rsid w:val="00402145"/>
    <w:rsid w:val="0040233A"/>
    <w:rsid w:val="00402838"/>
    <w:rsid w:val="0040431B"/>
    <w:rsid w:val="004044FA"/>
    <w:rsid w:val="00404D80"/>
    <w:rsid w:val="00405393"/>
    <w:rsid w:val="00406A9D"/>
    <w:rsid w:val="00406CB3"/>
    <w:rsid w:val="00407107"/>
    <w:rsid w:val="00410143"/>
    <w:rsid w:val="004105DE"/>
    <w:rsid w:val="00410F2E"/>
    <w:rsid w:val="0041144F"/>
    <w:rsid w:val="00412477"/>
    <w:rsid w:val="0041654F"/>
    <w:rsid w:val="0041717C"/>
    <w:rsid w:val="004214C7"/>
    <w:rsid w:val="00421885"/>
    <w:rsid w:val="004220FE"/>
    <w:rsid w:val="0042410A"/>
    <w:rsid w:val="004260D0"/>
    <w:rsid w:val="00430320"/>
    <w:rsid w:val="004307C8"/>
    <w:rsid w:val="00431D96"/>
    <w:rsid w:val="00431E81"/>
    <w:rsid w:val="004330EC"/>
    <w:rsid w:val="004332C6"/>
    <w:rsid w:val="00434253"/>
    <w:rsid w:val="004368B8"/>
    <w:rsid w:val="004368C0"/>
    <w:rsid w:val="00437BCE"/>
    <w:rsid w:val="0044040E"/>
    <w:rsid w:val="00442837"/>
    <w:rsid w:val="00442CC6"/>
    <w:rsid w:val="00442D73"/>
    <w:rsid w:val="00443251"/>
    <w:rsid w:val="00443A18"/>
    <w:rsid w:val="00443F68"/>
    <w:rsid w:val="00444153"/>
    <w:rsid w:val="00444FFC"/>
    <w:rsid w:val="00445426"/>
    <w:rsid w:val="0044560A"/>
    <w:rsid w:val="00446D75"/>
    <w:rsid w:val="00447864"/>
    <w:rsid w:val="00451F81"/>
    <w:rsid w:val="004539C0"/>
    <w:rsid w:val="00454344"/>
    <w:rsid w:val="00454549"/>
    <w:rsid w:val="00455070"/>
    <w:rsid w:val="004555B3"/>
    <w:rsid w:val="004558F1"/>
    <w:rsid w:val="004575AE"/>
    <w:rsid w:val="004601C9"/>
    <w:rsid w:val="0046230E"/>
    <w:rsid w:val="0046252B"/>
    <w:rsid w:val="00462E98"/>
    <w:rsid w:val="00462FB0"/>
    <w:rsid w:val="004649C4"/>
    <w:rsid w:val="00464DBB"/>
    <w:rsid w:val="00465A2D"/>
    <w:rsid w:val="00465D0B"/>
    <w:rsid w:val="0046686D"/>
    <w:rsid w:val="004707AA"/>
    <w:rsid w:val="00470E6C"/>
    <w:rsid w:val="004717E4"/>
    <w:rsid w:val="00471BE5"/>
    <w:rsid w:val="00472F1D"/>
    <w:rsid w:val="00473F45"/>
    <w:rsid w:val="00474A50"/>
    <w:rsid w:val="00475BAC"/>
    <w:rsid w:val="00477808"/>
    <w:rsid w:val="00477956"/>
    <w:rsid w:val="00477C17"/>
    <w:rsid w:val="00480125"/>
    <w:rsid w:val="0048064D"/>
    <w:rsid w:val="00481CF4"/>
    <w:rsid w:val="00482AC2"/>
    <w:rsid w:val="00484BE4"/>
    <w:rsid w:val="00485409"/>
    <w:rsid w:val="004855F7"/>
    <w:rsid w:val="004859EA"/>
    <w:rsid w:val="00485ECB"/>
    <w:rsid w:val="00485EE2"/>
    <w:rsid w:val="00486224"/>
    <w:rsid w:val="004869F6"/>
    <w:rsid w:val="00486B1D"/>
    <w:rsid w:val="00487133"/>
    <w:rsid w:val="004875BB"/>
    <w:rsid w:val="00487660"/>
    <w:rsid w:val="00487D91"/>
    <w:rsid w:val="00487EF2"/>
    <w:rsid w:val="00490621"/>
    <w:rsid w:val="00490BE1"/>
    <w:rsid w:val="00490C75"/>
    <w:rsid w:val="004940E5"/>
    <w:rsid w:val="00495CB3"/>
    <w:rsid w:val="00496580"/>
    <w:rsid w:val="0049714F"/>
    <w:rsid w:val="00497832"/>
    <w:rsid w:val="004A0A36"/>
    <w:rsid w:val="004A0D52"/>
    <w:rsid w:val="004A12A1"/>
    <w:rsid w:val="004A2483"/>
    <w:rsid w:val="004A31AA"/>
    <w:rsid w:val="004A35F5"/>
    <w:rsid w:val="004B003C"/>
    <w:rsid w:val="004B189D"/>
    <w:rsid w:val="004B2308"/>
    <w:rsid w:val="004B358B"/>
    <w:rsid w:val="004B3660"/>
    <w:rsid w:val="004B3D1C"/>
    <w:rsid w:val="004B49D4"/>
    <w:rsid w:val="004B5ADC"/>
    <w:rsid w:val="004B72E4"/>
    <w:rsid w:val="004B7608"/>
    <w:rsid w:val="004B7615"/>
    <w:rsid w:val="004B7CC5"/>
    <w:rsid w:val="004B7E0F"/>
    <w:rsid w:val="004C332F"/>
    <w:rsid w:val="004C37CF"/>
    <w:rsid w:val="004C3EEB"/>
    <w:rsid w:val="004C4941"/>
    <w:rsid w:val="004C5199"/>
    <w:rsid w:val="004C5A46"/>
    <w:rsid w:val="004C6290"/>
    <w:rsid w:val="004C6799"/>
    <w:rsid w:val="004C6D77"/>
    <w:rsid w:val="004D0458"/>
    <w:rsid w:val="004D0ADB"/>
    <w:rsid w:val="004D0BAA"/>
    <w:rsid w:val="004D1B87"/>
    <w:rsid w:val="004D3D50"/>
    <w:rsid w:val="004D3F25"/>
    <w:rsid w:val="004D5EDE"/>
    <w:rsid w:val="004E09A2"/>
    <w:rsid w:val="004E0ADF"/>
    <w:rsid w:val="004E0EC2"/>
    <w:rsid w:val="004E185D"/>
    <w:rsid w:val="004E198B"/>
    <w:rsid w:val="004E1A9A"/>
    <w:rsid w:val="004E2F92"/>
    <w:rsid w:val="004E363C"/>
    <w:rsid w:val="004E4671"/>
    <w:rsid w:val="004E511E"/>
    <w:rsid w:val="004E5615"/>
    <w:rsid w:val="004E594D"/>
    <w:rsid w:val="004E5C26"/>
    <w:rsid w:val="004E5C64"/>
    <w:rsid w:val="004E7CDB"/>
    <w:rsid w:val="004F0376"/>
    <w:rsid w:val="004F0CDF"/>
    <w:rsid w:val="004F0FE2"/>
    <w:rsid w:val="004F3153"/>
    <w:rsid w:val="004F3C8A"/>
    <w:rsid w:val="004F420A"/>
    <w:rsid w:val="004F46A5"/>
    <w:rsid w:val="004F5294"/>
    <w:rsid w:val="004F5E50"/>
    <w:rsid w:val="005001F5"/>
    <w:rsid w:val="0050111B"/>
    <w:rsid w:val="00502C8A"/>
    <w:rsid w:val="00503728"/>
    <w:rsid w:val="005047CE"/>
    <w:rsid w:val="00505500"/>
    <w:rsid w:val="00505AC7"/>
    <w:rsid w:val="005061DE"/>
    <w:rsid w:val="0050782F"/>
    <w:rsid w:val="00510353"/>
    <w:rsid w:val="005109F7"/>
    <w:rsid w:val="00510A09"/>
    <w:rsid w:val="00511165"/>
    <w:rsid w:val="005116BA"/>
    <w:rsid w:val="00513B6A"/>
    <w:rsid w:val="0051446B"/>
    <w:rsid w:val="00515399"/>
    <w:rsid w:val="00515B9C"/>
    <w:rsid w:val="00516114"/>
    <w:rsid w:val="00516A92"/>
    <w:rsid w:val="005175F9"/>
    <w:rsid w:val="0052011E"/>
    <w:rsid w:val="00521296"/>
    <w:rsid w:val="0052232A"/>
    <w:rsid w:val="00522541"/>
    <w:rsid w:val="0052292E"/>
    <w:rsid w:val="00523930"/>
    <w:rsid w:val="00524276"/>
    <w:rsid w:val="005243FD"/>
    <w:rsid w:val="005250D8"/>
    <w:rsid w:val="005250E0"/>
    <w:rsid w:val="00525373"/>
    <w:rsid w:val="005263BF"/>
    <w:rsid w:val="005279E2"/>
    <w:rsid w:val="00530D01"/>
    <w:rsid w:val="00533196"/>
    <w:rsid w:val="005347D0"/>
    <w:rsid w:val="005365CA"/>
    <w:rsid w:val="00536991"/>
    <w:rsid w:val="00536EFE"/>
    <w:rsid w:val="00537500"/>
    <w:rsid w:val="00540316"/>
    <w:rsid w:val="0054065A"/>
    <w:rsid w:val="00540EB0"/>
    <w:rsid w:val="00541004"/>
    <w:rsid w:val="00541053"/>
    <w:rsid w:val="00542949"/>
    <w:rsid w:val="00542CF0"/>
    <w:rsid w:val="005467BF"/>
    <w:rsid w:val="00546EEA"/>
    <w:rsid w:val="00547737"/>
    <w:rsid w:val="005501FD"/>
    <w:rsid w:val="005505B1"/>
    <w:rsid w:val="00551BF3"/>
    <w:rsid w:val="00553F39"/>
    <w:rsid w:val="00556151"/>
    <w:rsid w:val="005562CB"/>
    <w:rsid w:val="005563D1"/>
    <w:rsid w:val="00556B11"/>
    <w:rsid w:val="00556D35"/>
    <w:rsid w:val="00560142"/>
    <w:rsid w:val="00560B23"/>
    <w:rsid w:val="00561773"/>
    <w:rsid w:val="00561D4F"/>
    <w:rsid w:val="00561DC2"/>
    <w:rsid w:val="00562684"/>
    <w:rsid w:val="00562E39"/>
    <w:rsid w:val="005632A3"/>
    <w:rsid w:val="005632D7"/>
    <w:rsid w:val="0056489B"/>
    <w:rsid w:val="00564BF9"/>
    <w:rsid w:val="00565B7B"/>
    <w:rsid w:val="00566B4E"/>
    <w:rsid w:val="00566BF8"/>
    <w:rsid w:val="00566EE0"/>
    <w:rsid w:val="005677B2"/>
    <w:rsid w:val="00567D88"/>
    <w:rsid w:val="0057069C"/>
    <w:rsid w:val="00571C4D"/>
    <w:rsid w:val="005735AC"/>
    <w:rsid w:val="00575A5E"/>
    <w:rsid w:val="00575EC7"/>
    <w:rsid w:val="00576784"/>
    <w:rsid w:val="0057779B"/>
    <w:rsid w:val="00580806"/>
    <w:rsid w:val="005808D7"/>
    <w:rsid w:val="00580BF7"/>
    <w:rsid w:val="00581F8C"/>
    <w:rsid w:val="005823DC"/>
    <w:rsid w:val="0058255D"/>
    <w:rsid w:val="00582F70"/>
    <w:rsid w:val="00584C1C"/>
    <w:rsid w:val="00585198"/>
    <w:rsid w:val="00586426"/>
    <w:rsid w:val="00586A2A"/>
    <w:rsid w:val="00590CF2"/>
    <w:rsid w:val="00591CAE"/>
    <w:rsid w:val="00592A42"/>
    <w:rsid w:val="005937F3"/>
    <w:rsid w:val="0059392D"/>
    <w:rsid w:val="005950E1"/>
    <w:rsid w:val="0059579B"/>
    <w:rsid w:val="00597865"/>
    <w:rsid w:val="005A0E0A"/>
    <w:rsid w:val="005A2016"/>
    <w:rsid w:val="005A2EA2"/>
    <w:rsid w:val="005A3504"/>
    <w:rsid w:val="005A559E"/>
    <w:rsid w:val="005A60E5"/>
    <w:rsid w:val="005A6C6C"/>
    <w:rsid w:val="005A74D4"/>
    <w:rsid w:val="005A78C1"/>
    <w:rsid w:val="005A7F48"/>
    <w:rsid w:val="005B09CF"/>
    <w:rsid w:val="005B1402"/>
    <w:rsid w:val="005B1C57"/>
    <w:rsid w:val="005B3D9B"/>
    <w:rsid w:val="005B55B2"/>
    <w:rsid w:val="005B71E3"/>
    <w:rsid w:val="005C31E4"/>
    <w:rsid w:val="005C32F2"/>
    <w:rsid w:val="005C35F6"/>
    <w:rsid w:val="005C3EBE"/>
    <w:rsid w:val="005C564A"/>
    <w:rsid w:val="005C564E"/>
    <w:rsid w:val="005C5B8F"/>
    <w:rsid w:val="005C5CFE"/>
    <w:rsid w:val="005C5D43"/>
    <w:rsid w:val="005C6048"/>
    <w:rsid w:val="005C61E3"/>
    <w:rsid w:val="005C740A"/>
    <w:rsid w:val="005C74D0"/>
    <w:rsid w:val="005C7BD5"/>
    <w:rsid w:val="005C7E74"/>
    <w:rsid w:val="005D223D"/>
    <w:rsid w:val="005D2428"/>
    <w:rsid w:val="005D2AD8"/>
    <w:rsid w:val="005D3696"/>
    <w:rsid w:val="005D3AF2"/>
    <w:rsid w:val="005D6053"/>
    <w:rsid w:val="005D7816"/>
    <w:rsid w:val="005D798C"/>
    <w:rsid w:val="005E2119"/>
    <w:rsid w:val="005E38BB"/>
    <w:rsid w:val="005E49A3"/>
    <w:rsid w:val="005E6BFC"/>
    <w:rsid w:val="005E6D29"/>
    <w:rsid w:val="005E6E97"/>
    <w:rsid w:val="005E7E46"/>
    <w:rsid w:val="005F0A73"/>
    <w:rsid w:val="005F1DDE"/>
    <w:rsid w:val="005F33F4"/>
    <w:rsid w:val="005F347B"/>
    <w:rsid w:val="005F363A"/>
    <w:rsid w:val="005F37A7"/>
    <w:rsid w:val="005F3A1F"/>
    <w:rsid w:val="005F4FAA"/>
    <w:rsid w:val="005F5C7F"/>
    <w:rsid w:val="006015AD"/>
    <w:rsid w:val="006023B5"/>
    <w:rsid w:val="0060456C"/>
    <w:rsid w:val="006046E5"/>
    <w:rsid w:val="006048EE"/>
    <w:rsid w:val="00607499"/>
    <w:rsid w:val="00607679"/>
    <w:rsid w:val="00612F49"/>
    <w:rsid w:val="0061417D"/>
    <w:rsid w:val="0061547A"/>
    <w:rsid w:val="00616D1C"/>
    <w:rsid w:val="00616FD4"/>
    <w:rsid w:val="00621416"/>
    <w:rsid w:val="0062198B"/>
    <w:rsid w:val="0062417D"/>
    <w:rsid w:val="00625AFB"/>
    <w:rsid w:val="00626796"/>
    <w:rsid w:val="0062722E"/>
    <w:rsid w:val="00627F04"/>
    <w:rsid w:val="00633086"/>
    <w:rsid w:val="00635E25"/>
    <w:rsid w:val="00635FBA"/>
    <w:rsid w:val="0063671A"/>
    <w:rsid w:val="00640FDD"/>
    <w:rsid w:val="006416E6"/>
    <w:rsid w:val="00641F10"/>
    <w:rsid w:val="006426A8"/>
    <w:rsid w:val="00643D3F"/>
    <w:rsid w:val="00643F93"/>
    <w:rsid w:val="0064478C"/>
    <w:rsid w:val="00646AAA"/>
    <w:rsid w:val="00647082"/>
    <w:rsid w:val="00650160"/>
    <w:rsid w:val="0065076A"/>
    <w:rsid w:val="00652D87"/>
    <w:rsid w:val="00653456"/>
    <w:rsid w:val="00653742"/>
    <w:rsid w:val="00653774"/>
    <w:rsid w:val="0065575F"/>
    <w:rsid w:val="006568A2"/>
    <w:rsid w:val="006568D7"/>
    <w:rsid w:val="00656CAE"/>
    <w:rsid w:val="00657F6A"/>
    <w:rsid w:val="006604BC"/>
    <w:rsid w:val="00660F80"/>
    <w:rsid w:val="00663999"/>
    <w:rsid w:val="00663BF8"/>
    <w:rsid w:val="00666A34"/>
    <w:rsid w:val="00666A7B"/>
    <w:rsid w:val="00666B4C"/>
    <w:rsid w:val="0066708D"/>
    <w:rsid w:val="0066722F"/>
    <w:rsid w:val="00667558"/>
    <w:rsid w:val="0066792B"/>
    <w:rsid w:val="0066798C"/>
    <w:rsid w:val="00667B2A"/>
    <w:rsid w:val="00670779"/>
    <w:rsid w:val="006709C6"/>
    <w:rsid w:val="00671B3A"/>
    <w:rsid w:val="00671C19"/>
    <w:rsid w:val="00672FE7"/>
    <w:rsid w:val="00673107"/>
    <w:rsid w:val="0068012A"/>
    <w:rsid w:val="00680D84"/>
    <w:rsid w:val="00680E1B"/>
    <w:rsid w:val="00681790"/>
    <w:rsid w:val="0068304D"/>
    <w:rsid w:val="00683C15"/>
    <w:rsid w:val="00683E0C"/>
    <w:rsid w:val="00685117"/>
    <w:rsid w:val="00685CB8"/>
    <w:rsid w:val="0068646F"/>
    <w:rsid w:val="0068671D"/>
    <w:rsid w:val="006873E2"/>
    <w:rsid w:val="0068768A"/>
    <w:rsid w:val="00687B70"/>
    <w:rsid w:val="00690582"/>
    <w:rsid w:val="00690848"/>
    <w:rsid w:val="00690E7F"/>
    <w:rsid w:val="006913DB"/>
    <w:rsid w:val="00691F22"/>
    <w:rsid w:val="0069212E"/>
    <w:rsid w:val="00692831"/>
    <w:rsid w:val="00693A34"/>
    <w:rsid w:val="00693B3A"/>
    <w:rsid w:val="00693B58"/>
    <w:rsid w:val="00694A80"/>
    <w:rsid w:val="00695B21"/>
    <w:rsid w:val="00696431"/>
    <w:rsid w:val="00696F86"/>
    <w:rsid w:val="006A3983"/>
    <w:rsid w:val="006A4770"/>
    <w:rsid w:val="006A4FB4"/>
    <w:rsid w:val="006A534B"/>
    <w:rsid w:val="006A68F1"/>
    <w:rsid w:val="006A6A75"/>
    <w:rsid w:val="006A6C5C"/>
    <w:rsid w:val="006A7302"/>
    <w:rsid w:val="006B00DC"/>
    <w:rsid w:val="006B098C"/>
    <w:rsid w:val="006B0FFF"/>
    <w:rsid w:val="006B16FF"/>
    <w:rsid w:val="006B1B1D"/>
    <w:rsid w:val="006B285C"/>
    <w:rsid w:val="006B2902"/>
    <w:rsid w:val="006B2E88"/>
    <w:rsid w:val="006B4295"/>
    <w:rsid w:val="006B45EE"/>
    <w:rsid w:val="006B4814"/>
    <w:rsid w:val="006B66CC"/>
    <w:rsid w:val="006B7B03"/>
    <w:rsid w:val="006B7D34"/>
    <w:rsid w:val="006C1F55"/>
    <w:rsid w:val="006C2854"/>
    <w:rsid w:val="006C2923"/>
    <w:rsid w:val="006C3311"/>
    <w:rsid w:val="006C3F4E"/>
    <w:rsid w:val="006C46C9"/>
    <w:rsid w:val="006C4D46"/>
    <w:rsid w:val="006C5FB9"/>
    <w:rsid w:val="006C6CDD"/>
    <w:rsid w:val="006C6F6B"/>
    <w:rsid w:val="006C793F"/>
    <w:rsid w:val="006D0A6E"/>
    <w:rsid w:val="006D39A0"/>
    <w:rsid w:val="006D3F37"/>
    <w:rsid w:val="006D5119"/>
    <w:rsid w:val="006D6FAE"/>
    <w:rsid w:val="006D7703"/>
    <w:rsid w:val="006D77B1"/>
    <w:rsid w:val="006E008F"/>
    <w:rsid w:val="006E01D7"/>
    <w:rsid w:val="006E1D37"/>
    <w:rsid w:val="006E3CC9"/>
    <w:rsid w:val="006E5648"/>
    <w:rsid w:val="006E6446"/>
    <w:rsid w:val="006E70D0"/>
    <w:rsid w:val="006E7DC1"/>
    <w:rsid w:val="006F0AFA"/>
    <w:rsid w:val="006F0E2C"/>
    <w:rsid w:val="006F1F80"/>
    <w:rsid w:val="006F27A5"/>
    <w:rsid w:val="006F33F2"/>
    <w:rsid w:val="006F39DF"/>
    <w:rsid w:val="006F58FF"/>
    <w:rsid w:val="006F59B6"/>
    <w:rsid w:val="006F7B38"/>
    <w:rsid w:val="00700097"/>
    <w:rsid w:val="00700883"/>
    <w:rsid w:val="00700BD8"/>
    <w:rsid w:val="007020A2"/>
    <w:rsid w:val="00702D60"/>
    <w:rsid w:val="00702F14"/>
    <w:rsid w:val="0070302C"/>
    <w:rsid w:val="007037B5"/>
    <w:rsid w:val="00703865"/>
    <w:rsid w:val="00704125"/>
    <w:rsid w:val="0070429A"/>
    <w:rsid w:val="00704BAD"/>
    <w:rsid w:val="00705055"/>
    <w:rsid w:val="00706023"/>
    <w:rsid w:val="00706370"/>
    <w:rsid w:val="00706C55"/>
    <w:rsid w:val="00707165"/>
    <w:rsid w:val="00707232"/>
    <w:rsid w:val="0071105F"/>
    <w:rsid w:val="00711215"/>
    <w:rsid w:val="0071139A"/>
    <w:rsid w:val="0071149B"/>
    <w:rsid w:val="007121B2"/>
    <w:rsid w:val="00713D30"/>
    <w:rsid w:val="00714BC8"/>
    <w:rsid w:val="0071583B"/>
    <w:rsid w:val="0071661C"/>
    <w:rsid w:val="007168E1"/>
    <w:rsid w:val="00720101"/>
    <w:rsid w:val="0072078A"/>
    <w:rsid w:val="007213D7"/>
    <w:rsid w:val="007216E2"/>
    <w:rsid w:val="0072221F"/>
    <w:rsid w:val="00722441"/>
    <w:rsid w:val="0072334E"/>
    <w:rsid w:val="0072356B"/>
    <w:rsid w:val="00723ACC"/>
    <w:rsid w:val="00725A2F"/>
    <w:rsid w:val="0072665F"/>
    <w:rsid w:val="00727D3F"/>
    <w:rsid w:val="0073070A"/>
    <w:rsid w:val="007308AF"/>
    <w:rsid w:val="00730D50"/>
    <w:rsid w:val="007311C8"/>
    <w:rsid w:val="00731352"/>
    <w:rsid w:val="007314A8"/>
    <w:rsid w:val="00732C6E"/>
    <w:rsid w:val="00734E48"/>
    <w:rsid w:val="0073573A"/>
    <w:rsid w:val="00735C9B"/>
    <w:rsid w:val="00737311"/>
    <w:rsid w:val="00740E4C"/>
    <w:rsid w:val="00741048"/>
    <w:rsid w:val="007410B2"/>
    <w:rsid w:val="00741D87"/>
    <w:rsid w:val="00742DD5"/>
    <w:rsid w:val="00743236"/>
    <w:rsid w:val="00744BAA"/>
    <w:rsid w:val="00745800"/>
    <w:rsid w:val="00745C5D"/>
    <w:rsid w:val="00746365"/>
    <w:rsid w:val="0074797A"/>
    <w:rsid w:val="00751F41"/>
    <w:rsid w:val="007520D1"/>
    <w:rsid w:val="00752E8D"/>
    <w:rsid w:val="0075467C"/>
    <w:rsid w:val="00756049"/>
    <w:rsid w:val="007565ED"/>
    <w:rsid w:val="007576AE"/>
    <w:rsid w:val="00757B96"/>
    <w:rsid w:val="00760359"/>
    <w:rsid w:val="0076249B"/>
    <w:rsid w:val="00762780"/>
    <w:rsid w:val="00762E44"/>
    <w:rsid w:val="00763193"/>
    <w:rsid w:val="00763252"/>
    <w:rsid w:val="0076338C"/>
    <w:rsid w:val="00763910"/>
    <w:rsid w:val="00764E9B"/>
    <w:rsid w:val="00765611"/>
    <w:rsid w:val="00771A5E"/>
    <w:rsid w:val="00771A8A"/>
    <w:rsid w:val="00771BB5"/>
    <w:rsid w:val="00771E3B"/>
    <w:rsid w:val="00772293"/>
    <w:rsid w:val="00773465"/>
    <w:rsid w:val="00773862"/>
    <w:rsid w:val="0077434F"/>
    <w:rsid w:val="007759C2"/>
    <w:rsid w:val="00776194"/>
    <w:rsid w:val="007762E8"/>
    <w:rsid w:val="00777477"/>
    <w:rsid w:val="00777947"/>
    <w:rsid w:val="00777B07"/>
    <w:rsid w:val="00777B1C"/>
    <w:rsid w:val="007806BC"/>
    <w:rsid w:val="007809CB"/>
    <w:rsid w:val="00781491"/>
    <w:rsid w:val="00782FF0"/>
    <w:rsid w:val="00783D95"/>
    <w:rsid w:val="00783F1A"/>
    <w:rsid w:val="0078439F"/>
    <w:rsid w:val="0078524A"/>
    <w:rsid w:val="00785605"/>
    <w:rsid w:val="00787EB1"/>
    <w:rsid w:val="007906DC"/>
    <w:rsid w:val="00790D0F"/>
    <w:rsid w:val="0079107F"/>
    <w:rsid w:val="00792AEC"/>
    <w:rsid w:val="007963DB"/>
    <w:rsid w:val="00796F1B"/>
    <w:rsid w:val="00797A4E"/>
    <w:rsid w:val="00797C4E"/>
    <w:rsid w:val="007A0307"/>
    <w:rsid w:val="007A043A"/>
    <w:rsid w:val="007A142B"/>
    <w:rsid w:val="007A1CBE"/>
    <w:rsid w:val="007A3148"/>
    <w:rsid w:val="007A4620"/>
    <w:rsid w:val="007A50C4"/>
    <w:rsid w:val="007A5430"/>
    <w:rsid w:val="007A6E0B"/>
    <w:rsid w:val="007A70B4"/>
    <w:rsid w:val="007B048E"/>
    <w:rsid w:val="007B077E"/>
    <w:rsid w:val="007B1A3D"/>
    <w:rsid w:val="007B20B8"/>
    <w:rsid w:val="007B2345"/>
    <w:rsid w:val="007B297F"/>
    <w:rsid w:val="007B2B65"/>
    <w:rsid w:val="007B3B7D"/>
    <w:rsid w:val="007B4062"/>
    <w:rsid w:val="007B461D"/>
    <w:rsid w:val="007B5ADC"/>
    <w:rsid w:val="007B5DEF"/>
    <w:rsid w:val="007B5F91"/>
    <w:rsid w:val="007B62C7"/>
    <w:rsid w:val="007B6697"/>
    <w:rsid w:val="007B7E0C"/>
    <w:rsid w:val="007C01D6"/>
    <w:rsid w:val="007C12D4"/>
    <w:rsid w:val="007C16EA"/>
    <w:rsid w:val="007C1789"/>
    <w:rsid w:val="007C1A23"/>
    <w:rsid w:val="007C228C"/>
    <w:rsid w:val="007C29A3"/>
    <w:rsid w:val="007C2CA3"/>
    <w:rsid w:val="007C3230"/>
    <w:rsid w:val="007C3527"/>
    <w:rsid w:val="007C57CB"/>
    <w:rsid w:val="007C5BAD"/>
    <w:rsid w:val="007C5DDE"/>
    <w:rsid w:val="007C60DB"/>
    <w:rsid w:val="007C6147"/>
    <w:rsid w:val="007C6AD5"/>
    <w:rsid w:val="007C6C85"/>
    <w:rsid w:val="007C72FF"/>
    <w:rsid w:val="007C7827"/>
    <w:rsid w:val="007C795E"/>
    <w:rsid w:val="007C7DAB"/>
    <w:rsid w:val="007D23CA"/>
    <w:rsid w:val="007D28A8"/>
    <w:rsid w:val="007D34F2"/>
    <w:rsid w:val="007D3E13"/>
    <w:rsid w:val="007D42C2"/>
    <w:rsid w:val="007D4A85"/>
    <w:rsid w:val="007D4C90"/>
    <w:rsid w:val="007D602B"/>
    <w:rsid w:val="007D64DA"/>
    <w:rsid w:val="007D6B19"/>
    <w:rsid w:val="007D6D9A"/>
    <w:rsid w:val="007D7074"/>
    <w:rsid w:val="007E0F13"/>
    <w:rsid w:val="007E1294"/>
    <w:rsid w:val="007E19D6"/>
    <w:rsid w:val="007E3986"/>
    <w:rsid w:val="007E4615"/>
    <w:rsid w:val="007E5A5F"/>
    <w:rsid w:val="007E66A2"/>
    <w:rsid w:val="007E6B04"/>
    <w:rsid w:val="007E6F3C"/>
    <w:rsid w:val="007E7FE8"/>
    <w:rsid w:val="007F08EE"/>
    <w:rsid w:val="007F190C"/>
    <w:rsid w:val="007F1947"/>
    <w:rsid w:val="007F19E9"/>
    <w:rsid w:val="007F32E7"/>
    <w:rsid w:val="007F33D5"/>
    <w:rsid w:val="007F4046"/>
    <w:rsid w:val="007F7FE6"/>
    <w:rsid w:val="00801100"/>
    <w:rsid w:val="00801F47"/>
    <w:rsid w:val="00803287"/>
    <w:rsid w:val="00803ED3"/>
    <w:rsid w:val="0080407B"/>
    <w:rsid w:val="00804162"/>
    <w:rsid w:val="00804195"/>
    <w:rsid w:val="00804416"/>
    <w:rsid w:val="00804471"/>
    <w:rsid w:val="00804B9D"/>
    <w:rsid w:val="00805157"/>
    <w:rsid w:val="008053CE"/>
    <w:rsid w:val="00805BAE"/>
    <w:rsid w:val="00806F20"/>
    <w:rsid w:val="0080771F"/>
    <w:rsid w:val="00810010"/>
    <w:rsid w:val="00810595"/>
    <w:rsid w:val="008108D3"/>
    <w:rsid w:val="00810D6B"/>
    <w:rsid w:val="00811840"/>
    <w:rsid w:val="00811995"/>
    <w:rsid w:val="00811B41"/>
    <w:rsid w:val="00812A0B"/>
    <w:rsid w:val="0081389D"/>
    <w:rsid w:val="0081484F"/>
    <w:rsid w:val="008148FE"/>
    <w:rsid w:val="00814D78"/>
    <w:rsid w:val="00816A3D"/>
    <w:rsid w:val="0081734C"/>
    <w:rsid w:val="00817506"/>
    <w:rsid w:val="0082029A"/>
    <w:rsid w:val="00820BB0"/>
    <w:rsid w:val="008212A9"/>
    <w:rsid w:val="00821573"/>
    <w:rsid w:val="00821FB3"/>
    <w:rsid w:val="00822D58"/>
    <w:rsid w:val="0082317E"/>
    <w:rsid w:val="00823C06"/>
    <w:rsid w:val="008252BC"/>
    <w:rsid w:val="0082546F"/>
    <w:rsid w:val="00825AB3"/>
    <w:rsid w:val="00827110"/>
    <w:rsid w:val="008275B9"/>
    <w:rsid w:val="008318FD"/>
    <w:rsid w:val="00831B6F"/>
    <w:rsid w:val="00831D42"/>
    <w:rsid w:val="00832700"/>
    <w:rsid w:val="00832C60"/>
    <w:rsid w:val="008343B3"/>
    <w:rsid w:val="00834B17"/>
    <w:rsid w:val="00837CF4"/>
    <w:rsid w:val="008407F4"/>
    <w:rsid w:val="00840D37"/>
    <w:rsid w:val="00843A65"/>
    <w:rsid w:val="00843C5A"/>
    <w:rsid w:val="00844799"/>
    <w:rsid w:val="00844C84"/>
    <w:rsid w:val="00845A20"/>
    <w:rsid w:val="008463D7"/>
    <w:rsid w:val="0084685A"/>
    <w:rsid w:val="00846F6D"/>
    <w:rsid w:val="00847B5F"/>
    <w:rsid w:val="00851C87"/>
    <w:rsid w:val="00851E6F"/>
    <w:rsid w:val="00851F04"/>
    <w:rsid w:val="00852A6E"/>
    <w:rsid w:val="008533C4"/>
    <w:rsid w:val="00854319"/>
    <w:rsid w:val="008546C2"/>
    <w:rsid w:val="0085532D"/>
    <w:rsid w:val="008554F5"/>
    <w:rsid w:val="00855936"/>
    <w:rsid w:val="008573EF"/>
    <w:rsid w:val="00857571"/>
    <w:rsid w:val="0086108F"/>
    <w:rsid w:val="0086125B"/>
    <w:rsid w:val="0086208A"/>
    <w:rsid w:val="00863197"/>
    <w:rsid w:val="00863727"/>
    <w:rsid w:val="00863975"/>
    <w:rsid w:val="00863B00"/>
    <w:rsid w:val="00865553"/>
    <w:rsid w:val="008670C9"/>
    <w:rsid w:val="0087085F"/>
    <w:rsid w:val="00870AC5"/>
    <w:rsid w:val="00870CAD"/>
    <w:rsid w:val="00871AE9"/>
    <w:rsid w:val="00871C79"/>
    <w:rsid w:val="00872E8A"/>
    <w:rsid w:val="00873605"/>
    <w:rsid w:val="008755F9"/>
    <w:rsid w:val="0087596C"/>
    <w:rsid w:val="00875F32"/>
    <w:rsid w:val="00876744"/>
    <w:rsid w:val="00877743"/>
    <w:rsid w:val="00880152"/>
    <w:rsid w:val="00881023"/>
    <w:rsid w:val="00881F65"/>
    <w:rsid w:val="0088225C"/>
    <w:rsid w:val="00882410"/>
    <w:rsid w:val="0088245C"/>
    <w:rsid w:val="00882931"/>
    <w:rsid w:val="00882B19"/>
    <w:rsid w:val="00884572"/>
    <w:rsid w:val="00885621"/>
    <w:rsid w:val="00886375"/>
    <w:rsid w:val="00886651"/>
    <w:rsid w:val="00887A69"/>
    <w:rsid w:val="008904E6"/>
    <w:rsid w:val="008910FD"/>
    <w:rsid w:val="008915BA"/>
    <w:rsid w:val="0089195A"/>
    <w:rsid w:val="00892599"/>
    <w:rsid w:val="00892730"/>
    <w:rsid w:val="0089331F"/>
    <w:rsid w:val="008939EE"/>
    <w:rsid w:val="008943E4"/>
    <w:rsid w:val="00894430"/>
    <w:rsid w:val="008950AF"/>
    <w:rsid w:val="00895120"/>
    <w:rsid w:val="008952C7"/>
    <w:rsid w:val="00895F3E"/>
    <w:rsid w:val="0089644C"/>
    <w:rsid w:val="00897517"/>
    <w:rsid w:val="00897982"/>
    <w:rsid w:val="008A1082"/>
    <w:rsid w:val="008A13B2"/>
    <w:rsid w:val="008A15B7"/>
    <w:rsid w:val="008A4388"/>
    <w:rsid w:val="008A56CA"/>
    <w:rsid w:val="008A58B2"/>
    <w:rsid w:val="008A619E"/>
    <w:rsid w:val="008A629E"/>
    <w:rsid w:val="008A75AE"/>
    <w:rsid w:val="008B08A9"/>
    <w:rsid w:val="008B0C26"/>
    <w:rsid w:val="008B103A"/>
    <w:rsid w:val="008B2510"/>
    <w:rsid w:val="008B2773"/>
    <w:rsid w:val="008B4F47"/>
    <w:rsid w:val="008B5247"/>
    <w:rsid w:val="008B585F"/>
    <w:rsid w:val="008B5BDB"/>
    <w:rsid w:val="008C0765"/>
    <w:rsid w:val="008C3462"/>
    <w:rsid w:val="008C3483"/>
    <w:rsid w:val="008C3A95"/>
    <w:rsid w:val="008C3E28"/>
    <w:rsid w:val="008C3EEE"/>
    <w:rsid w:val="008C40F8"/>
    <w:rsid w:val="008C4123"/>
    <w:rsid w:val="008C4A62"/>
    <w:rsid w:val="008C5483"/>
    <w:rsid w:val="008C5FD3"/>
    <w:rsid w:val="008C62A0"/>
    <w:rsid w:val="008D0462"/>
    <w:rsid w:val="008D071D"/>
    <w:rsid w:val="008D07B1"/>
    <w:rsid w:val="008D1771"/>
    <w:rsid w:val="008D2920"/>
    <w:rsid w:val="008D2933"/>
    <w:rsid w:val="008D2FBA"/>
    <w:rsid w:val="008D319D"/>
    <w:rsid w:val="008D3942"/>
    <w:rsid w:val="008D39EA"/>
    <w:rsid w:val="008D3BAE"/>
    <w:rsid w:val="008D4926"/>
    <w:rsid w:val="008D4F88"/>
    <w:rsid w:val="008D58AF"/>
    <w:rsid w:val="008D6405"/>
    <w:rsid w:val="008D7EA4"/>
    <w:rsid w:val="008E1A76"/>
    <w:rsid w:val="008E1CE1"/>
    <w:rsid w:val="008E1F48"/>
    <w:rsid w:val="008E21D8"/>
    <w:rsid w:val="008E4294"/>
    <w:rsid w:val="008E523B"/>
    <w:rsid w:val="008E5CB4"/>
    <w:rsid w:val="008E6320"/>
    <w:rsid w:val="008E6BD2"/>
    <w:rsid w:val="008E6F4A"/>
    <w:rsid w:val="008F025F"/>
    <w:rsid w:val="008F124F"/>
    <w:rsid w:val="008F20DC"/>
    <w:rsid w:val="008F3403"/>
    <w:rsid w:val="008F3ACA"/>
    <w:rsid w:val="008F429C"/>
    <w:rsid w:val="008F56F3"/>
    <w:rsid w:val="008F68B6"/>
    <w:rsid w:val="008F7694"/>
    <w:rsid w:val="008F7D27"/>
    <w:rsid w:val="00900480"/>
    <w:rsid w:val="009018BE"/>
    <w:rsid w:val="00901E54"/>
    <w:rsid w:val="009025B0"/>
    <w:rsid w:val="00902A8A"/>
    <w:rsid w:val="009033F8"/>
    <w:rsid w:val="0090411C"/>
    <w:rsid w:val="00904657"/>
    <w:rsid w:val="00904896"/>
    <w:rsid w:val="00904A92"/>
    <w:rsid w:val="00905376"/>
    <w:rsid w:val="0090583F"/>
    <w:rsid w:val="0090706F"/>
    <w:rsid w:val="009072BA"/>
    <w:rsid w:val="00911813"/>
    <w:rsid w:val="00911B84"/>
    <w:rsid w:val="0091329F"/>
    <w:rsid w:val="009138C5"/>
    <w:rsid w:val="00913AA5"/>
    <w:rsid w:val="00913E45"/>
    <w:rsid w:val="009140DB"/>
    <w:rsid w:val="0091425C"/>
    <w:rsid w:val="00914A92"/>
    <w:rsid w:val="009174E4"/>
    <w:rsid w:val="00922B69"/>
    <w:rsid w:val="00923276"/>
    <w:rsid w:val="009232C7"/>
    <w:rsid w:val="0092361F"/>
    <w:rsid w:val="00925885"/>
    <w:rsid w:val="0092759A"/>
    <w:rsid w:val="00927D34"/>
    <w:rsid w:val="0093181C"/>
    <w:rsid w:val="009344CE"/>
    <w:rsid w:val="009349DC"/>
    <w:rsid w:val="009353BF"/>
    <w:rsid w:val="00936884"/>
    <w:rsid w:val="00937DDD"/>
    <w:rsid w:val="00937EA6"/>
    <w:rsid w:val="009401ED"/>
    <w:rsid w:val="00941A22"/>
    <w:rsid w:val="00941ED8"/>
    <w:rsid w:val="0094303A"/>
    <w:rsid w:val="009454B2"/>
    <w:rsid w:val="00945A72"/>
    <w:rsid w:val="0094607B"/>
    <w:rsid w:val="009461F6"/>
    <w:rsid w:val="00946768"/>
    <w:rsid w:val="009467EF"/>
    <w:rsid w:val="00946965"/>
    <w:rsid w:val="00946C6B"/>
    <w:rsid w:val="009479E8"/>
    <w:rsid w:val="009518C7"/>
    <w:rsid w:val="009531F9"/>
    <w:rsid w:val="00954266"/>
    <w:rsid w:val="00954AA3"/>
    <w:rsid w:val="00954F98"/>
    <w:rsid w:val="00955174"/>
    <w:rsid w:val="009553A2"/>
    <w:rsid w:val="00960687"/>
    <w:rsid w:val="009618A3"/>
    <w:rsid w:val="00961A4D"/>
    <w:rsid w:val="00961AA4"/>
    <w:rsid w:val="00964C1E"/>
    <w:rsid w:val="00964C92"/>
    <w:rsid w:val="00965284"/>
    <w:rsid w:val="00965650"/>
    <w:rsid w:val="00966498"/>
    <w:rsid w:val="00966D34"/>
    <w:rsid w:val="00966FB5"/>
    <w:rsid w:val="00971344"/>
    <w:rsid w:val="009723AB"/>
    <w:rsid w:val="0097243A"/>
    <w:rsid w:val="00972C5F"/>
    <w:rsid w:val="0097401E"/>
    <w:rsid w:val="00974F0A"/>
    <w:rsid w:val="00974F8E"/>
    <w:rsid w:val="00974FC1"/>
    <w:rsid w:val="00975079"/>
    <w:rsid w:val="009755B9"/>
    <w:rsid w:val="009766C0"/>
    <w:rsid w:val="00976B00"/>
    <w:rsid w:val="00976B73"/>
    <w:rsid w:val="00977346"/>
    <w:rsid w:val="0098378B"/>
    <w:rsid w:val="00983CD0"/>
    <w:rsid w:val="009858BF"/>
    <w:rsid w:val="009867F7"/>
    <w:rsid w:val="0099093C"/>
    <w:rsid w:val="0099219C"/>
    <w:rsid w:val="00992576"/>
    <w:rsid w:val="00992A92"/>
    <w:rsid w:val="0099343E"/>
    <w:rsid w:val="009939ED"/>
    <w:rsid w:val="009947C7"/>
    <w:rsid w:val="0099510D"/>
    <w:rsid w:val="00995E70"/>
    <w:rsid w:val="00996823"/>
    <w:rsid w:val="00996855"/>
    <w:rsid w:val="00997EC4"/>
    <w:rsid w:val="009A29DE"/>
    <w:rsid w:val="009A2F0F"/>
    <w:rsid w:val="009A308C"/>
    <w:rsid w:val="009A4469"/>
    <w:rsid w:val="009A633D"/>
    <w:rsid w:val="009A6849"/>
    <w:rsid w:val="009B1DB4"/>
    <w:rsid w:val="009B23D9"/>
    <w:rsid w:val="009B3738"/>
    <w:rsid w:val="009B5005"/>
    <w:rsid w:val="009B5F3E"/>
    <w:rsid w:val="009B69AC"/>
    <w:rsid w:val="009B7903"/>
    <w:rsid w:val="009B79FA"/>
    <w:rsid w:val="009C0AAB"/>
    <w:rsid w:val="009C12B7"/>
    <w:rsid w:val="009C1650"/>
    <w:rsid w:val="009C1A47"/>
    <w:rsid w:val="009C1AC8"/>
    <w:rsid w:val="009C33B3"/>
    <w:rsid w:val="009C35CD"/>
    <w:rsid w:val="009C42B7"/>
    <w:rsid w:val="009C437E"/>
    <w:rsid w:val="009C567D"/>
    <w:rsid w:val="009C5A64"/>
    <w:rsid w:val="009C6306"/>
    <w:rsid w:val="009C635E"/>
    <w:rsid w:val="009C6801"/>
    <w:rsid w:val="009C6A89"/>
    <w:rsid w:val="009C6D9F"/>
    <w:rsid w:val="009C77A9"/>
    <w:rsid w:val="009D0643"/>
    <w:rsid w:val="009D07AE"/>
    <w:rsid w:val="009D17DA"/>
    <w:rsid w:val="009D190A"/>
    <w:rsid w:val="009D251F"/>
    <w:rsid w:val="009D292A"/>
    <w:rsid w:val="009D58B3"/>
    <w:rsid w:val="009D77B2"/>
    <w:rsid w:val="009E1108"/>
    <w:rsid w:val="009E1849"/>
    <w:rsid w:val="009E2909"/>
    <w:rsid w:val="009E3218"/>
    <w:rsid w:val="009E36C4"/>
    <w:rsid w:val="009E5668"/>
    <w:rsid w:val="009E64E7"/>
    <w:rsid w:val="009E68DC"/>
    <w:rsid w:val="009E6DB0"/>
    <w:rsid w:val="009F01E7"/>
    <w:rsid w:val="009F18DE"/>
    <w:rsid w:val="009F22B0"/>
    <w:rsid w:val="009F36B1"/>
    <w:rsid w:val="009F44F2"/>
    <w:rsid w:val="009F45E4"/>
    <w:rsid w:val="009F4CB0"/>
    <w:rsid w:val="009F5299"/>
    <w:rsid w:val="009F5ADC"/>
    <w:rsid w:val="009F63A1"/>
    <w:rsid w:val="009F6AFE"/>
    <w:rsid w:val="009F73E3"/>
    <w:rsid w:val="009F7C80"/>
    <w:rsid w:val="009F7D6E"/>
    <w:rsid w:val="00A006FB"/>
    <w:rsid w:val="00A021C1"/>
    <w:rsid w:val="00A024A1"/>
    <w:rsid w:val="00A03DA7"/>
    <w:rsid w:val="00A04812"/>
    <w:rsid w:val="00A04C36"/>
    <w:rsid w:val="00A05A21"/>
    <w:rsid w:val="00A05BE1"/>
    <w:rsid w:val="00A0643B"/>
    <w:rsid w:val="00A12625"/>
    <w:rsid w:val="00A12B69"/>
    <w:rsid w:val="00A13EF4"/>
    <w:rsid w:val="00A14091"/>
    <w:rsid w:val="00A15B53"/>
    <w:rsid w:val="00A15D9F"/>
    <w:rsid w:val="00A16210"/>
    <w:rsid w:val="00A17185"/>
    <w:rsid w:val="00A17B0F"/>
    <w:rsid w:val="00A20460"/>
    <w:rsid w:val="00A21661"/>
    <w:rsid w:val="00A2179F"/>
    <w:rsid w:val="00A21C08"/>
    <w:rsid w:val="00A21DFC"/>
    <w:rsid w:val="00A21EBB"/>
    <w:rsid w:val="00A22633"/>
    <w:rsid w:val="00A2308E"/>
    <w:rsid w:val="00A23F2B"/>
    <w:rsid w:val="00A2417F"/>
    <w:rsid w:val="00A249D0"/>
    <w:rsid w:val="00A27A82"/>
    <w:rsid w:val="00A30F43"/>
    <w:rsid w:val="00A312BC"/>
    <w:rsid w:val="00A31B58"/>
    <w:rsid w:val="00A32448"/>
    <w:rsid w:val="00A32923"/>
    <w:rsid w:val="00A33196"/>
    <w:rsid w:val="00A3378B"/>
    <w:rsid w:val="00A34621"/>
    <w:rsid w:val="00A348D6"/>
    <w:rsid w:val="00A34E4D"/>
    <w:rsid w:val="00A3640B"/>
    <w:rsid w:val="00A37797"/>
    <w:rsid w:val="00A40CCA"/>
    <w:rsid w:val="00A4107C"/>
    <w:rsid w:val="00A414D0"/>
    <w:rsid w:val="00A416DA"/>
    <w:rsid w:val="00A42407"/>
    <w:rsid w:val="00A42683"/>
    <w:rsid w:val="00A433FE"/>
    <w:rsid w:val="00A43A10"/>
    <w:rsid w:val="00A44493"/>
    <w:rsid w:val="00A451F1"/>
    <w:rsid w:val="00A452D9"/>
    <w:rsid w:val="00A4551C"/>
    <w:rsid w:val="00A45AA2"/>
    <w:rsid w:val="00A4605F"/>
    <w:rsid w:val="00A47903"/>
    <w:rsid w:val="00A47C9F"/>
    <w:rsid w:val="00A5015B"/>
    <w:rsid w:val="00A509E5"/>
    <w:rsid w:val="00A537CD"/>
    <w:rsid w:val="00A54ACC"/>
    <w:rsid w:val="00A55AA8"/>
    <w:rsid w:val="00A5775F"/>
    <w:rsid w:val="00A57911"/>
    <w:rsid w:val="00A60896"/>
    <w:rsid w:val="00A60B63"/>
    <w:rsid w:val="00A612A2"/>
    <w:rsid w:val="00A61E1C"/>
    <w:rsid w:val="00A61E9F"/>
    <w:rsid w:val="00A636C4"/>
    <w:rsid w:val="00A640BF"/>
    <w:rsid w:val="00A64362"/>
    <w:rsid w:val="00A64A82"/>
    <w:rsid w:val="00A64E48"/>
    <w:rsid w:val="00A65405"/>
    <w:rsid w:val="00A657D6"/>
    <w:rsid w:val="00A66828"/>
    <w:rsid w:val="00A702B0"/>
    <w:rsid w:val="00A705D0"/>
    <w:rsid w:val="00A708B7"/>
    <w:rsid w:val="00A71B7F"/>
    <w:rsid w:val="00A726A3"/>
    <w:rsid w:val="00A72EC4"/>
    <w:rsid w:val="00A72F6D"/>
    <w:rsid w:val="00A72F90"/>
    <w:rsid w:val="00A7322C"/>
    <w:rsid w:val="00A7518F"/>
    <w:rsid w:val="00A7537A"/>
    <w:rsid w:val="00A7546F"/>
    <w:rsid w:val="00A756DC"/>
    <w:rsid w:val="00A75879"/>
    <w:rsid w:val="00A76DDB"/>
    <w:rsid w:val="00A772AC"/>
    <w:rsid w:val="00A801AA"/>
    <w:rsid w:val="00A80A29"/>
    <w:rsid w:val="00A80E15"/>
    <w:rsid w:val="00A82237"/>
    <w:rsid w:val="00A82282"/>
    <w:rsid w:val="00A8275E"/>
    <w:rsid w:val="00A82B82"/>
    <w:rsid w:val="00A84BB9"/>
    <w:rsid w:val="00A85EDB"/>
    <w:rsid w:val="00A87CC8"/>
    <w:rsid w:val="00A903CB"/>
    <w:rsid w:val="00A90989"/>
    <w:rsid w:val="00A90B2C"/>
    <w:rsid w:val="00A92282"/>
    <w:rsid w:val="00A934C0"/>
    <w:rsid w:val="00A936D4"/>
    <w:rsid w:val="00A94498"/>
    <w:rsid w:val="00A94DC0"/>
    <w:rsid w:val="00A97341"/>
    <w:rsid w:val="00A97424"/>
    <w:rsid w:val="00A97C4D"/>
    <w:rsid w:val="00AA023C"/>
    <w:rsid w:val="00AA0333"/>
    <w:rsid w:val="00AA2775"/>
    <w:rsid w:val="00AA3276"/>
    <w:rsid w:val="00AA3570"/>
    <w:rsid w:val="00AA35C9"/>
    <w:rsid w:val="00AA3A91"/>
    <w:rsid w:val="00AA460B"/>
    <w:rsid w:val="00AA46C1"/>
    <w:rsid w:val="00AA490E"/>
    <w:rsid w:val="00AA530A"/>
    <w:rsid w:val="00AA6E1C"/>
    <w:rsid w:val="00AB18D4"/>
    <w:rsid w:val="00AB3627"/>
    <w:rsid w:val="00AB3E86"/>
    <w:rsid w:val="00AB4205"/>
    <w:rsid w:val="00AB4672"/>
    <w:rsid w:val="00AB4688"/>
    <w:rsid w:val="00AB5B24"/>
    <w:rsid w:val="00AB5DE8"/>
    <w:rsid w:val="00AB5FEB"/>
    <w:rsid w:val="00AB60C8"/>
    <w:rsid w:val="00AB7629"/>
    <w:rsid w:val="00AC0F28"/>
    <w:rsid w:val="00AC1037"/>
    <w:rsid w:val="00AC148D"/>
    <w:rsid w:val="00AC3712"/>
    <w:rsid w:val="00AC37B1"/>
    <w:rsid w:val="00AC3869"/>
    <w:rsid w:val="00AC4098"/>
    <w:rsid w:val="00AC43D6"/>
    <w:rsid w:val="00AC4C5C"/>
    <w:rsid w:val="00AC5DDA"/>
    <w:rsid w:val="00AC6031"/>
    <w:rsid w:val="00AC6DB0"/>
    <w:rsid w:val="00AC7518"/>
    <w:rsid w:val="00AC7CE1"/>
    <w:rsid w:val="00AD116F"/>
    <w:rsid w:val="00AD17BF"/>
    <w:rsid w:val="00AD2B91"/>
    <w:rsid w:val="00AD2BAA"/>
    <w:rsid w:val="00AD2CE0"/>
    <w:rsid w:val="00AD3620"/>
    <w:rsid w:val="00AD3A17"/>
    <w:rsid w:val="00AD3A80"/>
    <w:rsid w:val="00AD3B9A"/>
    <w:rsid w:val="00AD5070"/>
    <w:rsid w:val="00AD6644"/>
    <w:rsid w:val="00AD74C2"/>
    <w:rsid w:val="00AD7601"/>
    <w:rsid w:val="00AE02CE"/>
    <w:rsid w:val="00AE0C8E"/>
    <w:rsid w:val="00AE0F93"/>
    <w:rsid w:val="00AE1483"/>
    <w:rsid w:val="00AE20BD"/>
    <w:rsid w:val="00AE2CD5"/>
    <w:rsid w:val="00AE57C6"/>
    <w:rsid w:val="00AE5E60"/>
    <w:rsid w:val="00AE6D5D"/>
    <w:rsid w:val="00AE7D95"/>
    <w:rsid w:val="00AF02C1"/>
    <w:rsid w:val="00AF0742"/>
    <w:rsid w:val="00AF077F"/>
    <w:rsid w:val="00AF1677"/>
    <w:rsid w:val="00AF1689"/>
    <w:rsid w:val="00AF1FAF"/>
    <w:rsid w:val="00AF2E78"/>
    <w:rsid w:val="00AF42C7"/>
    <w:rsid w:val="00AF5718"/>
    <w:rsid w:val="00AF5A3C"/>
    <w:rsid w:val="00AF5A7C"/>
    <w:rsid w:val="00AF5AD5"/>
    <w:rsid w:val="00AF6025"/>
    <w:rsid w:val="00AF6740"/>
    <w:rsid w:val="00AF6BB8"/>
    <w:rsid w:val="00AF701D"/>
    <w:rsid w:val="00B002E2"/>
    <w:rsid w:val="00B0083C"/>
    <w:rsid w:val="00B01111"/>
    <w:rsid w:val="00B01167"/>
    <w:rsid w:val="00B01AFB"/>
    <w:rsid w:val="00B01BDC"/>
    <w:rsid w:val="00B02035"/>
    <w:rsid w:val="00B02A2B"/>
    <w:rsid w:val="00B03248"/>
    <w:rsid w:val="00B06601"/>
    <w:rsid w:val="00B07F6F"/>
    <w:rsid w:val="00B1092E"/>
    <w:rsid w:val="00B110A7"/>
    <w:rsid w:val="00B1163B"/>
    <w:rsid w:val="00B130E2"/>
    <w:rsid w:val="00B14D41"/>
    <w:rsid w:val="00B151DF"/>
    <w:rsid w:val="00B20113"/>
    <w:rsid w:val="00B2065B"/>
    <w:rsid w:val="00B207AD"/>
    <w:rsid w:val="00B2098B"/>
    <w:rsid w:val="00B21D79"/>
    <w:rsid w:val="00B21DEA"/>
    <w:rsid w:val="00B21F74"/>
    <w:rsid w:val="00B23107"/>
    <w:rsid w:val="00B23359"/>
    <w:rsid w:val="00B2505F"/>
    <w:rsid w:val="00B25098"/>
    <w:rsid w:val="00B2697F"/>
    <w:rsid w:val="00B27335"/>
    <w:rsid w:val="00B27F2B"/>
    <w:rsid w:val="00B300F8"/>
    <w:rsid w:val="00B3067B"/>
    <w:rsid w:val="00B3079D"/>
    <w:rsid w:val="00B3094E"/>
    <w:rsid w:val="00B3154A"/>
    <w:rsid w:val="00B31AC8"/>
    <w:rsid w:val="00B330F6"/>
    <w:rsid w:val="00B34203"/>
    <w:rsid w:val="00B34572"/>
    <w:rsid w:val="00B348F7"/>
    <w:rsid w:val="00B34BA2"/>
    <w:rsid w:val="00B3507F"/>
    <w:rsid w:val="00B37253"/>
    <w:rsid w:val="00B406E9"/>
    <w:rsid w:val="00B412F7"/>
    <w:rsid w:val="00B424DF"/>
    <w:rsid w:val="00B433F4"/>
    <w:rsid w:val="00B43AB6"/>
    <w:rsid w:val="00B43D31"/>
    <w:rsid w:val="00B43F38"/>
    <w:rsid w:val="00B441B2"/>
    <w:rsid w:val="00B443C5"/>
    <w:rsid w:val="00B4513B"/>
    <w:rsid w:val="00B451BC"/>
    <w:rsid w:val="00B463FE"/>
    <w:rsid w:val="00B4754B"/>
    <w:rsid w:val="00B476AA"/>
    <w:rsid w:val="00B50265"/>
    <w:rsid w:val="00B50BAC"/>
    <w:rsid w:val="00B5107D"/>
    <w:rsid w:val="00B51284"/>
    <w:rsid w:val="00B519C5"/>
    <w:rsid w:val="00B531C3"/>
    <w:rsid w:val="00B53A07"/>
    <w:rsid w:val="00B5466F"/>
    <w:rsid w:val="00B55126"/>
    <w:rsid w:val="00B551DA"/>
    <w:rsid w:val="00B5533E"/>
    <w:rsid w:val="00B555CA"/>
    <w:rsid w:val="00B55B05"/>
    <w:rsid w:val="00B573C7"/>
    <w:rsid w:val="00B577C5"/>
    <w:rsid w:val="00B60A6F"/>
    <w:rsid w:val="00B60E4F"/>
    <w:rsid w:val="00B61197"/>
    <w:rsid w:val="00B6175A"/>
    <w:rsid w:val="00B62C0C"/>
    <w:rsid w:val="00B62C59"/>
    <w:rsid w:val="00B62CFD"/>
    <w:rsid w:val="00B64334"/>
    <w:rsid w:val="00B6584F"/>
    <w:rsid w:val="00B65F94"/>
    <w:rsid w:val="00B66498"/>
    <w:rsid w:val="00B67D26"/>
    <w:rsid w:val="00B71734"/>
    <w:rsid w:val="00B71859"/>
    <w:rsid w:val="00B733AC"/>
    <w:rsid w:val="00B742A1"/>
    <w:rsid w:val="00B754DE"/>
    <w:rsid w:val="00B76806"/>
    <w:rsid w:val="00B84014"/>
    <w:rsid w:val="00B84A70"/>
    <w:rsid w:val="00B84DE6"/>
    <w:rsid w:val="00B864F5"/>
    <w:rsid w:val="00B86DE2"/>
    <w:rsid w:val="00B87D27"/>
    <w:rsid w:val="00B87EC7"/>
    <w:rsid w:val="00B9038A"/>
    <w:rsid w:val="00B90B19"/>
    <w:rsid w:val="00B91592"/>
    <w:rsid w:val="00B91EC8"/>
    <w:rsid w:val="00B93A32"/>
    <w:rsid w:val="00B94686"/>
    <w:rsid w:val="00B94850"/>
    <w:rsid w:val="00B94F21"/>
    <w:rsid w:val="00B96A91"/>
    <w:rsid w:val="00B9786C"/>
    <w:rsid w:val="00B97E68"/>
    <w:rsid w:val="00B97FA5"/>
    <w:rsid w:val="00BA11CB"/>
    <w:rsid w:val="00BA17C8"/>
    <w:rsid w:val="00BA201F"/>
    <w:rsid w:val="00BA2547"/>
    <w:rsid w:val="00BA382F"/>
    <w:rsid w:val="00BA52B9"/>
    <w:rsid w:val="00BA7B15"/>
    <w:rsid w:val="00BA7B9E"/>
    <w:rsid w:val="00BA7F48"/>
    <w:rsid w:val="00BB26FB"/>
    <w:rsid w:val="00BB26FE"/>
    <w:rsid w:val="00BB286A"/>
    <w:rsid w:val="00BB298A"/>
    <w:rsid w:val="00BB339A"/>
    <w:rsid w:val="00BB3736"/>
    <w:rsid w:val="00BB3DFB"/>
    <w:rsid w:val="00BB41C2"/>
    <w:rsid w:val="00BB4630"/>
    <w:rsid w:val="00BB6D60"/>
    <w:rsid w:val="00BB7238"/>
    <w:rsid w:val="00BB7976"/>
    <w:rsid w:val="00BC2066"/>
    <w:rsid w:val="00BC39C9"/>
    <w:rsid w:val="00BC4A60"/>
    <w:rsid w:val="00BC4FE0"/>
    <w:rsid w:val="00BC504B"/>
    <w:rsid w:val="00BC53E8"/>
    <w:rsid w:val="00BC5FE1"/>
    <w:rsid w:val="00BC6074"/>
    <w:rsid w:val="00BC6401"/>
    <w:rsid w:val="00BC7390"/>
    <w:rsid w:val="00BC786F"/>
    <w:rsid w:val="00BD0C59"/>
    <w:rsid w:val="00BD1A40"/>
    <w:rsid w:val="00BD306F"/>
    <w:rsid w:val="00BD31AB"/>
    <w:rsid w:val="00BD34AC"/>
    <w:rsid w:val="00BD3927"/>
    <w:rsid w:val="00BD5C8D"/>
    <w:rsid w:val="00BD5D62"/>
    <w:rsid w:val="00BD60D0"/>
    <w:rsid w:val="00BD697C"/>
    <w:rsid w:val="00BE13A4"/>
    <w:rsid w:val="00BE1695"/>
    <w:rsid w:val="00BE2231"/>
    <w:rsid w:val="00BE27F0"/>
    <w:rsid w:val="00BE302C"/>
    <w:rsid w:val="00BE346E"/>
    <w:rsid w:val="00BE38CE"/>
    <w:rsid w:val="00BE5250"/>
    <w:rsid w:val="00BE5E4E"/>
    <w:rsid w:val="00BE6DA8"/>
    <w:rsid w:val="00BE72F1"/>
    <w:rsid w:val="00BF006D"/>
    <w:rsid w:val="00BF024A"/>
    <w:rsid w:val="00BF17AB"/>
    <w:rsid w:val="00BF1E4F"/>
    <w:rsid w:val="00BF208F"/>
    <w:rsid w:val="00BF2D66"/>
    <w:rsid w:val="00BF2D96"/>
    <w:rsid w:val="00BF2DE0"/>
    <w:rsid w:val="00BF333C"/>
    <w:rsid w:val="00BF33D7"/>
    <w:rsid w:val="00BF43F7"/>
    <w:rsid w:val="00BF5694"/>
    <w:rsid w:val="00BF7191"/>
    <w:rsid w:val="00BF7CA2"/>
    <w:rsid w:val="00C019AD"/>
    <w:rsid w:val="00C01A9E"/>
    <w:rsid w:val="00C01E44"/>
    <w:rsid w:val="00C02F78"/>
    <w:rsid w:val="00C04988"/>
    <w:rsid w:val="00C056A2"/>
    <w:rsid w:val="00C05CAA"/>
    <w:rsid w:val="00C0766D"/>
    <w:rsid w:val="00C07826"/>
    <w:rsid w:val="00C07BAF"/>
    <w:rsid w:val="00C1000A"/>
    <w:rsid w:val="00C10AAA"/>
    <w:rsid w:val="00C114FD"/>
    <w:rsid w:val="00C13112"/>
    <w:rsid w:val="00C16692"/>
    <w:rsid w:val="00C16DDF"/>
    <w:rsid w:val="00C20646"/>
    <w:rsid w:val="00C20703"/>
    <w:rsid w:val="00C20EA2"/>
    <w:rsid w:val="00C2389B"/>
    <w:rsid w:val="00C241F1"/>
    <w:rsid w:val="00C2425D"/>
    <w:rsid w:val="00C242EA"/>
    <w:rsid w:val="00C2497D"/>
    <w:rsid w:val="00C24E03"/>
    <w:rsid w:val="00C24E67"/>
    <w:rsid w:val="00C2533A"/>
    <w:rsid w:val="00C25BFC"/>
    <w:rsid w:val="00C25C7D"/>
    <w:rsid w:val="00C26DA3"/>
    <w:rsid w:val="00C26EC5"/>
    <w:rsid w:val="00C27ED3"/>
    <w:rsid w:val="00C32BB4"/>
    <w:rsid w:val="00C34038"/>
    <w:rsid w:val="00C3542C"/>
    <w:rsid w:val="00C36F7B"/>
    <w:rsid w:val="00C3794E"/>
    <w:rsid w:val="00C40C8E"/>
    <w:rsid w:val="00C41AE3"/>
    <w:rsid w:val="00C421F0"/>
    <w:rsid w:val="00C42FBF"/>
    <w:rsid w:val="00C43F02"/>
    <w:rsid w:val="00C43F07"/>
    <w:rsid w:val="00C4554E"/>
    <w:rsid w:val="00C45B3B"/>
    <w:rsid w:val="00C46599"/>
    <w:rsid w:val="00C4702B"/>
    <w:rsid w:val="00C5061B"/>
    <w:rsid w:val="00C50C09"/>
    <w:rsid w:val="00C50F73"/>
    <w:rsid w:val="00C5282F"/>
    <w:rsid w:val="00C53A06"/>
    <w:rsid w:val="00C53E85"/>
    <w:rsid w:val="00C54575"/>
    <w:rsid w:val="00C54CA8"/>
    <w:rsid w:val="00C57BB6"/>
    <w:rsid w:val="00C62A66"/>
    <w:rsid w:val="00C62B13"/>
    <w:rsid w:val="00C62D76"/>
    <w:rsid w:val="00C66DD2"/>
    <w:rsid w:val="00C67E8A"/>
    <w:rsid w:val="00C7065F"/>
    <w:rsid w:val="00C71427"/>
    <w:rsid w:val="00C72447"/>
    <w:rsid w:val="00C7320D"/>
    <w:rsid w:val="00C7324B"/>
    <w:rsid w:val="00C739EC"/>
    <w:rsid w:val="00C73EF9"/>
    <w:rsid w:val="00C741B9"/>
    <w:rsid w:val="00C749B2"/>
    <w:rsid w:val="00C7570F"/>
    <w:rsid w:val="00C7573E"/>
    <w:rsid w:val="00C764E1"/>
    <w:rsid w:val="00C76D5C"/>
    <w:rsid w:val="00C76FCC"/>
    <w:rsid w:val="00C77098"/>
    <w:rsid w:val="00C8261B"/>
    <w:rsid w:val="00C83CCB"/>
    <w:rsid w:val="00C840EB"/>
    <w:rsid w:val="00C84110"/>
    <w:rsid w:val="00C8425A"/>
    <w:rsid w:val="00C84F8C"/>
    <w:rsid w:val="00C85BF7"/>
    <w:rsid w:val="00C86D29"/>
    <w:rsid w:val="00C87498"/>
    <w:rsid w:val="00C90BA8"/>
    <w:rsid w:val="00C92344"/>
    <w:rsid w:val="00C92431"/>
    <w:rsid w:val="00C9248C"/>
    <w:rsid w:val="00C92A3A"/>
    <w:rsid w:val="00C93BAD"/>
    <w:rsid w:val="00C94B6B"/>
    <w:rsid w:val="00C94C32"/>
    <w:rsid w:val="00C9621C"/>
    <w:rsid w:val="00C97182"/>
    <w:rsid w:val="00C978C3"/>
    <w:rsid w:val="00CA23C3"/>
    <w:rsid w:val="00CA295E"/>
    <w:rsid w:val="00CA296D"/>
    <w:rsid w:val="00CA2E38"/>
    <w:rsid w:val="00CA3044"/>
    <w:rsid w:val="00CA4392"/>
    <w:rsid w:val="00CB0F48"/>
    <w:rsid w:val="00CB1419"/>
    <w:rsid w:val="00CB166A"/>
    <w:rsid w:val="00CB1F7F"/>
    <w:rsid w:val="00CB1FE6"/>
    <w:rsid w:val="00CB4730"/>
    <w:rsid w:val="00CB54E5"/>
    <w:rsid w:val="00CB5515"/>
    <w:rsid w:val="00CB57D0"/>
    <w:rsid w:val="00CB5A80"/>
    <w:rsid w:val="00CB5D7B"/>
    <w:rsid w:val="00CB7830"/>
    <w:rsid w:val="00CC0CBE"/>
    <w:rsid w:val="00CC1612"/>
    <w:rsid w:val="00CC1804"/>
    <w:rsid w:val="00CC1ADD"/>
    <w:rsid w:val="00CC1BF7"/>
    <w:rsid w:val="00CC2070"/>
    <w:rsid w:val="00CC26AA"/>
    <w:rsid w:val="00CC2E0D"/>
    <w:rsid w:val="00CC3637"/>
    <w:rsid w:val="00CC3D91"/>
    <w:rsid w:val="00CC3E3A"/>
    <w:rsid w:val="00CC5191"/>
    <w:rsid w:val="00CC61D1"/>
    <w:rsid w:val="00CC6E65"/>
    <w:rsid w:val="00CC7E3E"/>
    <w:rsid w:val="00CD01B5"/>
    <w:rsid w:val="00CD0372"/>
    <w:rsid w:val="00CD0F30"/>
    <w:rsid w:val="00CD125A"/>
    <w:rsid w:val="00CD148C"/>
    <w:rsid w:val="00CD2F6F"/>
    <w:rsid w:val="00CD4609"/>
    <w:rsid w:val="00CD5B2D"/>
    <w:rsid w:val="00CD67CA"/>
    <w:rsid w:val="00CD768A"/>
    <w:rsid w:val="00CE001B"/>
    <w:rsid w:val="00CE0D03"/>
    <w:rsid w:val="00CE1617"/>
    <w:rsid w:val="00CE1C00"/>
    <w:rsid w:val="00CE1F3D"/>
    <w:rsid w:val="00CE4680"/>
    <w:rsid w:val="00CE591C"/>
    <w:rsid w:val="00CE6ABD"/>
    <w:rsid w:val="00CE6D76"/>
    <w:rsid w:val="00CF03C9"/>
    <w:rsid w:val="00CF0990"/>
    <w:rsid w:val="00CF14E4"/>
    <w:rsid w:val="00CF1AD6"/>
    <w:rsid w:val="00CF1BB0"/>
    <w:rsid w:val="00CF2681"/>
    <w:rsid w:val="00CF280E"/>
    <w:rsid w:val="00CF28FD"/>
    <w:rsid w:val="00CF321F"/>
    <w:rsid w:val="00CF35E0"/>
    <w:rsid w:val="00CF3873"/>
    <w:rsid w:val="00CF505D"/>
    <w:rsid w:val="00CF5194"/>
    <w:rsid w:val="00CF5D1A"/>
    <w:rsid w:val="00CF5DBF"/>
    <w:rsid w:val="00CF7670"/>
    <w:rsid w:val="00CF7B18"/>
    <w:rsid w:val="00D0049D"/>
    <w:rsid w:val="00D02061"/>
    <w:rsid w:val="00D022E5"/>
    <w:rsid w:val="00D02BFB"/>
    <w:rsid w:val="00D03AA1"/>
    <w:rsid w:val="00D04FAB"/>
    <w:rsid w:val="00D053A6"/>
    <w:rsid w:val="00D05E72"/>
    <w:rsid w:val="00D06F34"/>
    <w:rsid w:val="00D07270"/>
    <w:rsid w:val="00D073F4"/>
    <w:rsid w:val="00D10B75"/>
    <w:rsid w:val="00D10D13"/>
    <w:rsid w:val="00D10E13"/>
    <w:rsid w:val="00D11366"/>
    <w:rsid w:val="00D11FBB"/>
    <w:rsid w:val="00D12672"/>
    <w:rsid w:val="00D15AD6"/>
    <w:rsid w:val="00D160F3"/>
    <w:rsid w:val="00D165B6"/>
    <w:rsid w:val="00D2069E"/>
    <w:rsid w:val="00D2265D"/>
    <w:rsid w:val="00D23B49"/>
    <w:rsid w:val="00D24AAC"/>
    <w:rsid w:val="00D25D78"/>
    <w:rsid w:val="00D27410"/>
    <w:rsid w:val="00D27924"/>
    <w:rsid w:val="00D27B9D"/>
    <w:rsid w:val="00D27ED5"/>
    <w:rsid w:val="00D30131"/>
    <w:rsid w:val="00D3163D"/>
    <w:rsid w:val="00D317B7"/>
    <w:rsid w:val="00D32446"/>
    <w:rsid w:val="00D3274F"/>
    <w:rsid w:val="00D33076"/>
    <w:rsid w:val="00D340A1"/>
    <w:rsid w:val="00D35B14"/>
    <w:rsid w:val="00D4072A"/>
    <w:rsid w:val="00D40786"/>
    <w:rsid w:val="00D40DE8"/>
    <w:rsid w:val="00D432DC"/>
    <w:rsid w:val="00D43B2B"/>
    <w:rsid w:val="00D43EC0"/>
    <w:rsid w:val="00D44736"/>
    <w:rsid w:val="00D45822"/>
    <w:rsid w:val="00D46A14"/>
    <w:rsid w:val="00D46DD5"/>
    <w:rsid w:val="00D472D6"/>
    <w:rsid w:val="00D474CE"/>
    <w:rsid w:val="00D502C5"/>
    <w:rsid w:val="00D5133B"/>
    <w:rsid w:val="00D51E4D"/>
    <w:rsid w:val="00D51E8E"/>
    <w:rsid w:val="00D522EA"/>
    <w:rsid w:val="00D52729"/>
    <w:rsid w:val="00D5382D"/>
    <w:rsid w:val="00D54078"/>
    <w:rsid w:val="00D55379"/>
    <w:rsid w:val="00D55D49"/>
    <w:rsid w:val="00D55D7B"/>
    <w:rsid w:val="00D55D82"/>
    <w:rsid w:val="00D566B5"/>
    <w:rsid w:val="00D568AA"/>
    <w:rsid w:val="00D56F67"/>
    <w:rsid w:val="00D57E9E"/>
    <w:rsid w:val="00D6070F"/>
    <w:rsid w:val="00D61BA4"/>
    <w:rsid w:val="00D61CC9"/>
    <w:rsid w:val="00D61F3B"/>
    <w:rsid w:val="00D62534"/>
    <w:rsid w:val="00D64622"/>
    <w:rsid w:val="00D651CA"/>
    <w:rsid w:val="00D652F7"/>
    <w:rsid w:val="00D65FAF"/>
    <w:rsid w:val="00D65FF5"/>
    <w:rsid w:val="00D667B7"/>
    <w:rsid w:val="00D677F0"/>
    <w:rsid w:val="00D67D53"/>
    <w:rsid w:val="00D67DC1"/>
    <w:rsid w:val="00D7115B"/>
    <w:rsid w:val="00D7167F"/>
    <w:rsid w:val="00D72B03"/>
    <w:rsid w:val="00D75751"/>
    <w:rsid w:val="00D75CB1"/>
    <w:rsid w:val="00D768BD"/>
    <w:rsid w:val="00D7744C"/>
    <w:rsid w:val="00D77687"/>
    <w:rsid w:val="00D811BE"/>
    <w:rsid w:val="00D845A3"/>
    <w:rsid w:val="00D84A29"/>
    <w:rsid w:val="00D86CD9"/>
    <w:rsid w:val="00D87299"/>
    <w:rsid w:val="00D902DE"/>
    <w:rsid w:val="00D90B24"/>
    <w:rsid w:val="00D90D38"/>
    <w:rsid w:val="00D912C1"/>
    <w:rsid w:val="00D91581"/>
    <w:rsid w:val="00D91855"/>
    <w:rsid w:val="00D91D5D"/>
    <w:rsid w:val="00D9221B"/>
    <w:rsid w:val="00D922A8"/>
    <w:rsid w:val="00D927DB"/>
    <w:rsid w:val="00D93A59"/>
    <w:rsid w:val="00D949D1"/>
    <w:rsid w:val="00D94F23"/>
    <w:rsid w:val="00D95D93"/>
    <w:rsid w:val="00D95EE4"/>
    <w:rsid w:val="00D962B6"/>
    <w:rsid w:val="00D96BD3"/>
    <w:rsid w:val="00D96D1B"/>
    <w:rsid w:val="00D9714A"/>
    <w:rsid w:val="00D97CBE"/>
    <w:rsid w:val="00DA0D61"/>
    <w:rsid w:val="00DA0F80"/>
    <w:rsid w:val="00DA2D5C"/>
    <w:rsid w:val="00DA4756"/>
    <w:rsid w:val="00DA4992"/>
    <w:rsid w:val="00DA4B81"/>
    <w:rsid w:val="00DA54FA"/>
    <w:rsid w:val="00DA59A3"/>
    <w:rsid w:val="00DB06C6"/>
    <w:rsid w:val="00DB188B"/>
    <w:rsid w:val="00DB1BFE"/>
    <w:rsid w:val="00DB23EC"/>
    <w:rsid w:val="00DB2934"/>
    <w:rsid w:val="00DB31A2"/>
    <w:rsid w:val="00DB360F"/>
    <w:rsid w:val="00DB39C9"/>
    <w:rsid w:val="00DB3B9E"/>
    <w:rsid w:val="00DB3E9A"/>
    <w:rsid w:val="00DB4899"/>
    <w:rsid w:val="00DB4DCF"/>
    <w:rsid w:val="00DB54BF"/>
    <w:rsid w:val="00DB5FCE"/>
    <w:rsid w:val="00DB69C5"/>
    <w:rsid w:val="00DB71A5"/>
    <w:rsid w:val="00DB7E26"/>
    <w:rsid w:val="00DB7F31"/>
    <w:rsid w:val="00DC048D"/>
    <w:rsid w:val="00DC04F6"/>
    <w:rsid w:val="00DC085F"/>
    <w:rsid w:val="00DC0B68"/>
    <w:rsid w:val="00DC1792"/>
    <w:rsid w:val="00DC193A"/>
    <w:rsid w:val="00DC1A5A"/>
    <w:rsid w:val="00DC1CCB"/>
    <w:rsid w:val="00DC2E68"/>
    <w:rsid w:val="00DC3A2C"/>
    <w:rsid w:val="00DC3CF6"/>
    <w:rsid w:val="00DC4D48"/>
    <w:rsid w:val="00DC5443"/>
    <w:rsid w:val="00DC5C38"/>
    <w:rsid w:val="00DC6C28"/>
    <w:rsid w:val="00DC6E4F"/>
    <w:rsid w:val="00DC79C8"/>
    <w:rsid w:val="00DC7A4F"/>
    <w:rsid w:val="00DD0259"/>
    <w:rsid w:val="00DD030C"/>
    <w:rsid w:val="00DD046A"/>
    <w:rsid w:val="00DD0A89"/>
    <w:rsid w:val="00DD12A5"/>
    <w:rsid w:val="00DD34AD"/>
    <w:rsid w:val="00DD3FD4"/>
    <w:rsid w:val="00DD58F5"/>
    <w:rsid w:val="00DD6A3D"/>
    <w:rsid w:val="00DE3733"/>
    <w:rsid w:val="00DE38EE"/>
    <w:rsid w:val="00DE42BC"/>
    <w:rsid w:val="00DE4D1C"/>
    <w:rsid w:val="00DE5425"/>
    <w:rsid w:val="00DE67F0"/>
    <w:rsid w:val="00DE710B"/>
    <w:rsid w:val="00DE731A"/>
    <w:rsid w:val="00DF059A"/>
    <w:rsid w:val="00DF07A3"/>
    <w:rsid w:val="00DF0A7C"/>
    <w:rsid w:val="00DF2E94"/>
    <w:rsid w:val="00DF30F2"/>
    <w:rsid w:val="00DF3C53"/>
    <w:rsid w:val="00DF3E95"/>
    <w:rsid w:val="00DF4990"/>
    <w:rsid w:val="00DF5516"/>
    <w:rsid w:val="00DF5D18"/>
    <w:rsid w:val="00DF63AF"/>
    <w:rsid w:val="00DF6A9E"/>
    <w:rsid w:val="00DF7060"/>
    <w:rsid w:val="00E00163"/>
    <w:rsid w:val="00E006A1"/>
    <w:rsid w:val="00E01682"/>
    <w:rsid w:val="00E01DFD"/>
    <w:rsid w:val="00E0328E"/>
    <w:rsid w:val="00E05938"/>
    <w:rsid w:val="00E05ACE"/>
    <w:rsid w:val="00E05D2E"/>
    <w:rsid w:val="00E06804"/>
    <w:rsid w:val="00E07D90"/>
    <w:rsid w:val="00E07D9B"/>
    <w:rsid w:val="00E11186"/>
    <w:rsid w:val="00E11DCC"/>
    <w:rsid w:val="00E14144"/>
    <w:rsid w:val="00E14F07"/>
    <w:rsid w:val="00E15584"/>
    <w:rsid w:val="00E15682"/>
    <w:rsid w:val="00E15A37"/>
    <w:rsid w:val="00E1668F"/>
    <w:rsid w:val="00E1710A"/>
    <w:rsid w:val="00E17989"/>
    <w:rsid w:val="00E17A2A"/>
    <w:rsid w:val="00E17D34"/>
    <w:rsid w:val="00E201E8"/>
    <w:rsid w:val="00E20C51"/>
    <w:rsid w:val="00E222E9"/>
    <w:rsid w:val="00E22AAB"/>
    <w:rsid w:val="00E234F2"/>
    <w:rsid w:val="00E2415E"/>
    <w:rsid w:val="00E2481B"/>
    <w:rsid w:val="00E27978"/>
    <w:rsid w:val="00E27B5A"/>
    <w:rsid w:val="00E30039"/>
    <w:rsid w:val="00E30425"/>
    <w:rsid w:val="00E307D1"/>
    <w:rsid w:val="00E31335"/>
    <w:rsid w:val="00E32621"/>
    <w:rsid w:val="00E352E5"/>
    <w:rsid w:val="00E37769"/>
    <w:rsid w:val="00E40FB0"/>
    <w:rsid w:val="00E416B0"/>
    <w:rsid w:val="00E42100"/>
    <w:rsid w:val="00E43280"/>
    <w:rsid w:val="00E43A37"/>
    <w:rsid w:val="00E43B0C"/>
    <w:rsid w:val="00E4432E"/>
    <w:rsid w:val="00E4489C"/>
    <w:rsid w:val="00E44BFF"/>
    <w:rsid w:val="00E4593D"/>
    <w:rsid w:val="00E468FE"/>
    <w:rsid w:val="00E476A9"/>
    <w:rsid w:val="00E476DE"/>
    <w:rsid w:val="00E50863"/>
    <w:rsid w:val="00E50A55"/>
    <w:rsid w:val="00E52775"/>
    <w:rsid w:val="00E53B18"/>
    <w:rsid w:val="00E56707"/>
    <w:rsid w:val="00E61AA5"/>
    <w:rsid w:val="00E6215E"/>
    <w:rsid w:val="00E63785"/>
    <w:rsid w:val="00E64291"/>
    <w:rsid w:val="00E643BF"/>
    <w:rsid w:val="00E64E50"/>
    <w:rsid w:val="00E65177"/>
    <w:rsid w:val="00E660D8"/>
    <w:rsid w:val="00E66C85"/>
    <w:rsid w:val="00E66EFC"/>
    <w:rsid w:val="00E71EF5"/>
    <w:rsid w:val="00E721DF"/>
    <w:rsid w:val="00E72C1D"/>
    <w:rsid w:val="00E735B7"/>
    <w:rsid w:val="00E7415A"/>
    <w:rsid w:val="00E74241"/>
    <w:rsid w:val="00E75092"/>
    <w:rsid w:val="00E75B35"/>
    <w:rsid w:val="00E76E60"/>
    <w:rsid w:val="00E77E5A"/>
    <w:rsid w:val="00E80318"/>
    <w:rsid w:val="00E81F75"/>
    <w:rsid w:val="00E82415"/>
    <w:rsid w:val="00E82DCB"/>
    <w:rsid w:val="00E836CE"/>
    <w:rsid w:val="00E874A7"/>
    <w:rsid w:val="00E87BB5"/>
    <w:rsid w:val="00E91B87"/>
    <w:rsid w:val="00E92763"/>
    <w:rsid w:val="00E93B6F"/>
    <w:rsid w:val="00E93BCF"/>
    <w:rsid w:val="00E9417F"/>
    <w:rsid w:val="00E95B48"/>
    <w:rsid w:val="00E960E0"/>
    <w:rsid w:val="00E97124"/>
    <w:rsid w:val="00EA0A21"/>
    <w:rsid w:val="00EA158B"/>
    <w:rsid w:val="00EA1A4B"/>
    <w:rsid w:val="00EA1AA1"/>
    <w:rsid w:val="00EA1E87"/>
    <w:rsid w:val="00EA328D"/>
    <w:rsid w:val="00EA44E9"/>
    <w:rsid w:val="00EA4532"/>
    <w:rsid w:val="00EA4B2C"/>
    <w:rsid w:val="00EA6022"/>
    <w:rsid w:val="00EA6C85"/>
    <w:rsid w:val="00EA78F6"/>
    <w:rsid w:val="00EA7E39"/>
    <w:rsid w:val="00EB009E"/>
    <w:rsid w:val="00EB0997"/>
    <w:rsid w:val="00EB3D4F"/>
    <w:rsid w:val="00EB43FE"/>
    <w:rsid w:val="00EB6380"/>
    <w:rsid w:val="00EB7409"/>
    <w:rsid w:val="00EB78AC"/>
    <w:rsid w:val="00EB7950"/>
    <w:rsid w:val="00EB7D0B"/>
    <w:rsid w:val="00EC121A"/>
    <w:rsid w:val="00EC1279"/>
    <w:rsid w:val="00EC12F0"/>
    <w:rsid w:val="00EC1DB9"/>
    <w:rsid w:val="00EC2674"/>
    <w:rsid w:val="00EC2698"/>
    <w:rsid w:val="00EC2CEB"/>
    <w:rsid w:val="00EC2CFD"/>
    <w:rsid w:val="00EC3015"/>
    <w:rsid w:val="00EC3E88"/>
    <w:rsid w:val="00EC45BC"/>
    <w:rsid w:val="00EC46C3"/>
    <w:rsid w:val="00EC4774"/>
    <w:rsid w:val="00EC5EF6"/>
    <w:rsid w:val="00EC6042"/>
    <w:rsid w:val="00EC669F"/>
    <w:rsid w:val="00EC7751"/>
    <w:rsid w:val="00ED05F6"/>
    <w:rsid w:val="00ED2410"/>
    <w:rsid w:val="00ED3ADF"/>
    <w:rsid w:val="00ED553C"/>
    <w:rsid w:val="00ED555E"/>
    <w:rsid w:val="00ED633A"/>
    <w:rsid w:val="00ED7610"/>
    <w:rsid w:val="00ED7758"/>
    <w:rsid w:val="00ED7877"/>
    <w:rsid w:val="00EE0DBB"/>
    <w:rsid w:val="00EE10F4"/>
    <w:rsid w:val="00EE1D10"/>
    <w:rsid w:val="00EE2FBF"/>
    <w:rsid w:val="00EE36DC"/>
    <w:rsid w:val="00EE6A7B"/>
    <w:rsid w:val="00EF03F6"/>
    <w:rsid w:val="00EF084A"/>
    <w:rsid w:val="00EF1052"/>
    <w:rsid w:val="00EF16D5"/>
    <w:rsid w:val="00EF1703"/>
    <w:rsid w:val="00EF3975"/>
    <w:rsid w:val="00EF3A0C"/>
    <w:rsid w:val="00EF3DB0"/>
    <w:rsid w:val="00EF472E"/>
    <w:rsid w:val="00EF4910"/>
    <w:rsid w:val="00EF4E11"/>
    <w:rsid w:val="00EF5178"/>
    <w:rsid w:val="00F013FE"/>
    <w:rsid w:val="00F01C6E"/>
    <w:rsid w:val="00F01F8E"/>
    <w:rsid w:val="00F0259C"/>
    <w:rsid w:val="00F0346B"/>
    <w:rsid w:val="00F03A97"/>
    <w:rsid w:val="00F03C65"/>
    <w:rsid w:val="00F045C2"/>
    <w:rsid w:val="00F0479D"/>
    <w:rsid w:val="00F05AAC"/>
    <w:rsid w:val="00F064B3"/>
    <w:rsid w:val="00F07525"/>
    <w:rsid w:val="00F07F9E"/>
    <w:rsid w:val="00F12D02"/>
    <w:rsid w:val="00F130E3"/>
    <w:rsid w:val="00F13EEE"/>
    <w:rsid w:val="00F14C02"/>
    <w:rsid w:val="00F156F2"/>
    <w:rsid w:val="00F202B9"/>
    <w:rsid w:val="00F208A7"/>
    <w:rsid w:val="00F22A6D"/>
    <w:rsid w:val="00F22AE9"/>
    <w:rsid w:val="00F23389"/>
    <w:rsid w:val="00F247E1"/>
    <w:rsid w:val="00F253F6"/>
    <w:rsid w:val="00F253FD"/>
    <w:rsid w:val="00F25DCF"/>
    <w:rsid w:val="00F25DF9"/>
    <w:rsid w:val="00F27AD7"/>
    <w:rsid w:val="00F310D5"/>
    <w:rsid w:val="00F31F7C"/>
    <w:rsid w:val="00F3244A"/>
    <w:rsid w:val="00F327E2"/>
    <w:rsid w:val="00F32BB8"/>
    <w:rsid w:val="00F338E7"/>
    <w:rsid w:val="00F34797"/>
    <w:rsid w:val="00F35116"/>
    <w:rsid w:val="00F3582E"/>
    <w:rsid w:val="00F37699"/>
    <w:rsid w:val="00F37928"/>
    <w:rsid w:val="00F40C3A"/>
    <w:rsid w:val="00F422F4"/>
    <w:rsid w:val="00F4380F"/>
    <w:rsid w:val="00F43B51"/>
    <w:rsid w:val="00F43E18"/>
    <w:rsid w:val="00F47751"/>
    <w:rsid w:val="00F5077B"/>
    <w:rsid w:val="00F50D08"/>
    <w:rsid w:val="00F52CE1"/>
    <w:rsid w:val="00F53648"/>
    <w:rsid w:val="00F5567F"/>
    <w:rsid w:val="00F56142"/>
    <w:rsid w:val="00F57412"/>
    <w:rsid w:val="00F60E85"/>
    <w:rsid w:val="00F6142D"/>
    <w:rsid w:val="00F6226B"/>
    <w:rsid w:val="00F62354"/>
    <w:rsid w:val="00F62963"/>
    <w:rsid w:val="00F62C06"/>
    <w:rsid w:val="00F63779"/>
    <w:rsid w:val="00F63BDE"/>
    <w:rsid w:val="00F64573"/>
    <w:rsid w:val="00F64F15"/>
    <w:rsid w:val="00F6580A"/>
    <w:rsid w:val="00F663EF"/>
    <w:rsid w:val="00F70857"/>
    <w:rsid w:val="00F70B70"/>
    <w:rsid w:val="00F71010"/>
    <w:rsid w:val="00F71986"/>
    <w:rsid w:val="00F720F6"/>
    <w:rsid w:val="00F731E1"/>
    <w:rsid w:val="00F732FE"/>
    <w:rsid w:val="00F73E54"/>
    <w:rsid w:val="00F76AC1"/>
    <w:rsid w:val="00F76E00"/>
    <w:rsid w:val="00F76FD2"/>
    <w:rsid w:val="00F77010"/>
    <w:rsid w:val="00F817DE"/>
    <w:rsid w:val="00F8194E"/>
    <w:rsid w:val="00F820AB"/>
    <w:rsid w:val="00F8304F"/>
    <w:rsid w:val="00F830FE"/>
    <w:rsid w:val="00F8352A"/>
    <w:rsid w:val="00F83D70"/>
    <w:rsid w:val="00F85653"/>
    <w:rsid w:val="00F8577A"/>
    <w:rsid w:val="00F85AB4"/>
    <w:rsid w:val="00F86FA1"/>
    <w:rsid w:val="00F874DC"/>
    <w:rsid w:val="00F904B0"/>
    <w:rsid w:val="00F90577"/>
    <w:rsid w:val="00F91079"/>
    <w:rsid w:val="00F91775"/>
    <w:rsid w:val="00F917C9"/>
    <w:rsid w:val="00F91AA2"/>
    <w:rsid w:val="00F92C78"/>
    <w:rsid w:val="00F934C1"/>
    <w:rsid w:val="00F93F80"/>
    <w:rsid w:val="00F94694"/>
    <w:rsid w:val="00F94A6F"/>
    <w:rsid w:val="00F95226"/>
    <w:rsid w:val="00F96424"/>
    <w:rsid w:val="00F964FF"/>
    <w:rsid w:val="00F9796B"/>
    <w:rsid w:val="00F97F30"/>
    <w:rsid w:val="00FA03E0"/>
    <w:rsid w:val="00FA1F06"/>
    <w:rsid w:val="00FA23F7"/>
    <w:rsid w:val="00FA317D"/>
    <w:rsid w:val="00FA4E2D"/>
    <w:rsid w:val="00FA5CDA"/>
    <w:rsid w:val="00FA7701"/>
    <w:rsid w:val="00FB03A2"/>
    <w:rsid w:val="00FB04CD"/>
    <w:rsid w:val="00FB0889"/>
    <w:rsid w:val="00FB1776"/>
    <w:rsid w:val="00FB1943"/>
    <w:rsid w:val="00FB1E60"/>
    <w:rsid w:val="00FB2C5C"/>
    <w:rsid w:val="00FB3741"/>
    <w:rsid w:val="00FB5B35"/>
    <w:rsid w:val="00FB737F"/>
    <w:rsid w:val="00FC2A7D"/>
    <w:rsid w:val="00FC3E51"/>
    <w:rsid w:val="00FC48BB"/>
    <w:rsid w:val="00FC6AB4"/>
    <w:rsid w:val="00FC6B87"/>
    <w:rsid w:val="00FC6EA5"/>
    <w:rsid w:val="00FC7269"/>
    <w:rsid w:val="00FD0451"/>
    <w:rsid w:val="00FD0D1E"/>
    <w:rsid w:val="00FD15BA"/>
    <w:rsid w:val="00FD3BF4"/>
    <w:rsid w:val="00FD42F8"/>
    <w:rsid w:val="00FD52EC"/>
    <w:rsid w:val="00FD53A0"/>
    <w:rsid w:val="00FD5A13"/>
    <w:rsid w:val="00FD782E"/>
    <w:rsid w:val="00FD7867"/>
    <w:rsid w:val="00FD7C91"/>
    <w:rsid w:val="00FE1756"/>
    <w:rsid w:val="00FE1BC4"/>
    <w:rsid w:val="00FE1E3F"/>
    <w:rsid w:val="00FE208A"/>
    <w:rsid w:val="00FE289D"/>
    <w:rsid w:val="00FE2D20"/>
    <w:rsid w:val="00FE3914"/>
    <w:rsid w:val="00FE50E9"/>
    <w:rsid w:val="00FE68A8"/>
    <w:rsid w:val="00FE6DDB"/>
    <w:rsid w:val="00FE7F3F"/>
    <w:rsid w:val="00FF0090"/>
    <w:rsid w:val="00FF0857"/>
    <w:rsid w:val="00FF0A5B"/>
    <w:rsid w:val="00FF1535"/>
    <w:rsid w:val="00FF20B4"/>
    <w:rsid w:val="00FF3207"/>
    <w:rsid w:val="00FF33F5"/>
    <w:rsid w:val="00FF3B65"/>
    <w:rsid w:val="00FF3D5D"/>
    <w:rsid w:val="00FF4176"/>
    <w:rsid w:val="00FF55E0"/>
    <w:rsid w:val="00FF6BD0"/>
    <w:rsid w:val="00FF706A"/>
    <w:rsid w:val="01477BCB"/>
    <w:rsid w:val="0165774F"/>
    <w:rsid w:val="017513A9"/>
    <w:rsid w:val="01B11E35"/>
    <w:rsid w:val="01C62B3E"/>
    <w:rsid w:val="024679DB"/>
    <w:rsid w:val="025A0105"/>
    <w:rsid w:val="028407B3"/>
    <w:rsid w:val="02D6178C"/>
    <w:rsid w:val="02F2197A"/>
    <w:rsid w:val="03375244"/>
    <w:rsid w:val="03BC0C9A"/>
    <w:rsid w:val="03E62EB1"/>
    <w:rsid w:val="03EC63C9"/>
    <w:rsid w:val="0413149A"/>
    <w:rsid w:val="0422003D"/>
    <w:rsid w:val="042913CB"/>
    <w:rsid w:val="04684637"/>
    <w:rsid w:val="054E19A4"/>
    <w:rsid w:val="05771562"/>
    <w:rsid w:val="05852CF4"/>
    <w:rsid w:val="05927A85"/>
    <w:rsid w:val="05957310"/>
    <w:rsid w:val="060F639F"/>
    <w:rsid w:val="066E7569"/>
    <w:rsid w:val="06B37672"/>
    <w:rsid w:val="06DB44D3"/>
    <w:rsid w:val="07510465"/>
    <w:rsid w:val="076B4BFB"/>
    <w:rsid w:val="078F3BF1"/>
    <w:rsid w:val="080E26A1"/>
    <w:rsid w:val="08567B2F"/>
    <w:rsid w:val="088C088F"/>
    <w:rsid w:val="09336116"/>
    <w:rsid w:val="09C1409A"/>
    <w:rsid w:val="0A743D85"/>
    <w:rsid w:val="0B961C47"/>
    <w:rsid w:val="0BD55F69"/>
    <w:rsid w:val="0BF56037"/>
    <w:rsid w:val="0C152235"/>
    <w:rsid w:val="0C3B6140"/>
    <w:rsid w:val="0CD848B8"/>
    <w:rsid w:val="0D504342"/>
    <w:rsid w:val="0D870F11"/>
    <w:rsid w:val="0DB02216"/>
    <w:rsid w:val="0DC5128C"/>
    <w:rsid w:val="0DD9114E"/>
    <w:rsid w:val="0E0408E9"/>
    <w:rsid w:val="0E1C525D"/>
    <w:rsid w:val="0E260891"/>
    <w:rsid w:val="0E725164"/>
    <w:rsid w:val="0EFE4AC2"/>
    <w:rsid w:val="101F37A7"/>
    <w:rsid w:val="10816FD2"/>
    <w:rsid w:val="10D02C05"/>
    <w:rsid w:val="11252F1A"/>
    <w:rsid w:val="11802A9D"/>
    <w:rsid w:val="11A27ED6"/>
    <w:rsid w:val="11D14F29"/>
    <w:rsid w:val="12A065D5"/>
    <w:rsid w:val="12B207DE"/>
    <w:rsid w:val="12C66037"/>
    <w:rsid w:val="12D91221"/>
    <w:rsid w:val="13407938"/>
    <w:rsid w:val="13693592"/>
    <w:rsid w:val="137E6AE5"/>
    <w:rsid w:val="13C366E3"/>
    <w:rsid w:val="143F0797"/>
    <w:rsid w:val="1451773B"/>
    <w:rsid w:val="149418A3"/>
    <w:rsid w:val="14CB202B"/>
    <w:rsid w:val="14CD3A88"/>
    <w:rsid w:val="14EB5FBC"/>
    <w:rsid w:val="153E7107"/>
    <w:rsid w:val="15702678"/>
    <w:rsid w:val="15831547"/>
    <w:rsid w:val="159113BF"/>
    <w:rsid w:val="15D94EDC"/>
    <w:rsid w:val="161404C8"/>
    <w:rsid w:val="161A6DC6"/>
    <w:rsid w:val="16240CFA"/>
    <w:rsid w:val="164836F6"/>
    <w:rsid w:val="16702687"/>
    <w:rsid w:val="16D2582B"/>
    <w:rsid w:val="172A2E7A"/>
    <w:rsid w:val="172C1744"/>
    <w:rsid w:val="17476AD5"/>
    <w:rsid w:val="176651A7"/>
    <w:rsid w:val="17B2302E"/>
    <w:rsid w:val="17B23574"/>
    <w:rsid w:val="18345ABA"/>
    <w:rsid w:val="1851727E"/>
    <w:rsid w:val="186A5405"/>
    <w:rsid w:val="18932E60"/>
    <w:rsid w:val="189645C0"/>
    <w:rsid w:val="18C82B09"/>
    <w:rsid w:val="18DA146E"/>
    <w:rsid w:val="18FB5139"/>
    <w:rsid w:val="192F2B88"/>
    <w:rsid w:val="194B16A1"/>
    <w:rsid w:val="19762565"/>
    <w:rsid w:val="19AF5A77"/>
    <w:rsid w:val="19B74463"/>
    <w:rsid w:val="19BC232B"/>
    <w:rsid w:val="1A4505F1"/>
    <w:rsid w:val="1A7E4FCF"/>
    <w:rsid w:val="1A8211B0"/>
    <w:rsid w:val="1A8A42CA"/>
    <w:rsid w:val="1ABE7FAC"/>
    <w:rsid w:val="1B074E3A"/>
    <w:rsid w:val="1B217338"/>
    <w:rsid w:val="1B3D037C"/>
    <w:rsid w:val="1B4C36BB"/>
    <w:rsid w:val="1B5A5C6B"/>
    <w:rsid w:val="1BAB6C8D"/>
    <w:rsid w:val="1C26681F"/>
    <w:rsid w:val="1C591711"/>
    <w:rsid w:val="1C6F2165"/>
    <w:rsid w:val="1C7F0946"/>
    <w:rsid w:val="1CBD1967"/>
    <w:rsid w:val="1D0936F0"/>
    <w:rsid w:val="1D126FDD"/>
    <w:rsid w:val="1D2F75FB"/>
    <w:rsid w:val="1D8B05A9"/>
    <w:rsid w:val="1DCA664E"/>
    <w:rsid w:val="1DF12B02"/>
    <w:rsid w:val="1E450182"/>
    <w:rsid w:val="1E5D0198"/>
    <w:rsid w:val="1EC446A5"/>
    <w:rsid w:val="1ED05A7D"/>
    <w:rsid w:val="1EDA53E2"/>
    <w:rsid w:val="1EE07F7F"/>
    <w:rsid w:val="1F4F72C9"/>
    <w:rsid w:val="1F5327B5"/>
    <w:rsid w:val="1FA977BF"/>
    <w:rsid w:val="1FB6253D"/>
    <w:rsid w:val="1FC3402A"/>
    <w:rsid w:val="1FE94A78"/>
    <w:rsid w:val="20083BF5"/>
    <w:rsid w:val="206E2E3C"/>
    <w:rsid w:val="20C95670"/>
    <w:rsid w:val="20D06740"/>
    <w:rsid w:val="20D5794E"/>
    <w:rsid w:val="20EF0E4F"/>
    <w:rsid w:val="20FB4104"/>
    <w:rsid w:val="21050673"/>
    <w:rsid w:val="213F215E"/>
    <w:rsid w:val="21493877"/>
    <w:rsid w:val="214F7FD4"/>
    <w:rsid w:val="216D6944"/>
    <w:rsid w:val="21CD75BD"/>
    <w:rsid w:val="21EF2BF7"/>
    <w:rsid w:val="22386288"/>
    <w:rsid w:val="22503C1D"/>
    <w:rsid w:val="226D4721"/>
    <w:rsid w:val="227B3D94"/>
    <w:rsid w:val="227C521C"/>
    <w:rsid w:val="22E23F44"/>
    <w:rsid w:val="234731C4"/>
    <w:rsid w:val="239E5129"/>
    <w:rsid w:val="24400E1F"/>
    <w:rsid w:val="247D51DF"/>
    <w:rsid w:val="247E0175"/>
    <w:rsid w:val="248520D7"/>
    <w:rsid w:val="25335C24"/>
    <w:rsid w:val="25755DC7"/>
    <w:rsid w:val="257A1221"/>
    <w:rsid w:val="258F538D"/>
    <w:rsid w:val="26E0484D"/>
    <w:rsid w:val="27264850"/>
    <w:rsid w:val="27443528"/>
    <w:rsid w:val="27482DA8"/>
    <w:rsid w:val="27595274"/>
    <w:rsid w:val="27CF1BFE"/>
    <w:rsid w:val="27E22837"/>
    <w:rsid w:val="28174256"/>
    <w:rsid w:val="28312E15"/>
    <w:rsid w:val="283C1DD8"/>
    <w:rsid w:val="28D21BF7"/>
    <w:rsid w:val="28E87C1A"/>
    <w:rsid w:val="2A0C4820"/>
    <w:rsid w:val="2A494F4A"/>
    <w:rsid w:val="2A510C9C"/>
    <w:rsid w:val="2A6C52BE"/>
    <w:rsid w:val="2A805769"/>
    <w:rsid w:val="2ACE7951"/>
    <w:rsid w:val="2ADA11FD"/>
    <w:rsid w:val="2AE03E77"/>
    <w:rsid w:val="2B02634F"/>
    <w:rsid w:val="2B4104F9"/>
    <w:rsid w:val="2BB03D3C"/>
    <w:rsid w:val="2C0734F1"/>
    <w:rsid w:val="2C1D6BD5"/>
    <w:rsid w:val="2C546A99"/>
    <w:rsid w:val="2CA44507"/>
    <w:rsid w:val="2CDC0F6F"/>
    <w:rsid w:val="2CE46631"/>
    <w:rsid w:val="2CEC18D8"/>
    <w:rsid w:val="2D3A16A4"/>
    <w:rsid w:val="2D3D729F"/>
    <w:rsid w:val="2D606C10"/>
    <w:rsid w:val="2D6D5C07"/>
    <w:rsid w:val="2D7A3971"/>
    <w:rsid w:val="2D7A3F41"/>
    <w:rsid w:val="2D9569AC"/>
    <w:rsid w:val="2EB8264A"/>
    <w:rsid w:val="2F110B7B"/>
    <w:rsid w:val="2F1112F0"/>
    <w:rsid w:val="2F155F21"/>
    <w:rsid w:val="2FA87B82"/>
    <w:rsid w:val="2FF16992"/>
    <w:rsid w:val="30235B53"/>
    <w:rsid w:val="30E443A9"/>
    <w:rsid w:val="30F85AFE"/>
    <w:rsid w:val="313E4617"/>
    <w:rsid w:val="318D11BE"/>
    <w:rsid w:val="31996FDB"/>
    <w:rsid w:val="31EF42EF"/>
    <w:rsid w:val="321D7FAE"/>
    <w:rsid w:val="32383A46"/>
    <w:rsid w:val="3296737C"/>
    <w:rsid w:val="32BD2631"/>
    <w:rsid w:val="32C00BD6"/>
    <w:rsid w:val="32C3091E"/>
    <w:rsid w:val="32D84909"/>
    <w:rsid w:val="33305A23"/>
    <w:rsid w:val="33753436"/>
    <w:rsid w:val="337A31A4"/>
    <w:rsid w:val="33842D58"/>
    <w:rsid w:val="33C2377D"/>
    <w:rsid w:val="33E6570C"/>
    <w:rsid w:val="33F14B85"/>
    <w:rsid w:val="34293A3F"/>
    <w:rsid w:val="347035F7"/>
    <w:rsid w:val="348E47AF"/>
    <w:rsid w:val="34DF325D"/>
    <w:rsid w:val="36297FEC"/>
    <w:rsid w:val="364C66D0"/>
    <w:rsid w:val="36566100"/>
    <w:rsid w:val="365F17D9"/>
    <w:rsid w:val="36FA25D0"/>
    <w:rsid w:val="37276106"/>
    <w:rsid w:val="3795459A"/>
    <w:rsid w:val="384C2872"/>
    <w:rsid w:val="386B749B"/>
    <w:rsid w:val="3947656F"/>
    <w:rsid w:val="398840B5"/>
    <w:rsid w:val="39A8171C"/>
    <w:rsid w:val="39EA702F"/>
    <w:rsid w:val="39F27199"/>
    <w:rsid w:val="3A9A0428"/>
    <w:rsid w:val="3AB234E7"/>
    <w:rsid w:val="3ABA54C6"/>
    <w:rsid w:val="3ABF56FA"/>
    <w:rsid w:val="3B1855C6"/>
    <w:rsid w:val="3B200138"/>
    <w:rsid w:val="3BC57B8F"/>
    <w:rsid w:val="3BCA5316"/>
    <w:rsid w:val="3BD2607C"/>
    <w:rsid w:val="3BE159ED"/>
    <w:rsid w:val="3C1F7ED7"/>
    <w:rsid w:val="3C2B4FD9"/>
    <w:rsid w:val="3C7A15FE"/>
    <w:rsid w:val="3C8B2027"/>
    <w:rsid w:val="3C9C54B2"/>
    <w:rsid w:val="3CB75C8C"/>
    <w:rsid w:val="3CD842BA"/>
    <w:rsid w:val="3CED04E1"/>
    <w:rsid w:val="3D154364"/>
    <w:rsid w:val="3D3922A2"/>
    <w:rsid w:val="3D734A47"/>
    <w:rsid w:val="3D92781D"/>
    <w:rsid w:val="3DE82198"/>
    <w:rsid w:val="3E2D1234"/>
    <w:rsid w:val="3E42660A"/>
    <w:rsid w:val="3E846C23"/>
    <w:rsid w:val="3E884A7C"/>
    <w:rsid w:val="3EA07B02"/>
    <w:rsid w:val="3EAD0CC4"/>
    <w:rsid w:val="3ED81E4B"/>
    <w:rsid w:val="3EE649B0"/>
    <w:rsid w:val="3EFE4C27"/>
    <w:rsid w:val="3F3B0C9D"/>
    <w:rsid w:val="3F480515"/>
    <w:rsid w:val="3FBB6674"/>
    <w:rsid w:val="3FDD1D9F"/>
    <w:rsid w:val="3FDF4001"/>
    <w:rsid w:val="3FF20EF0"/>
    <w:rsid w:val="3FF81C6C"/>
    <w:rsid w:val="401624AB"/>
    <w:rsid w:val="40835A4C"/>
    <w:rsid w:val="409273C5"/>
    <w:rsid w:val="409A272E"/>
    <w:rsid w:val="40AC57AD"/>
    <w:rsid w:val="40C95B0C"/>
    <w:rsid w:val="40DA0D7C"/>
    <w:rsid w:val="40E02836"/>
    <w:rsid w:val="4116259D"/>
    <w:rsid w:val="41724CF5"/>
    <w:rsid w:val="41F62E08"/>
    <w:rsid w:val="42274B6D"/>
    <w:rsid w:val="428F404E"/>
    <w:rsid w:val="42BC2E2F"/>
    <w:rsid w:val="42C86C2C"/>
    <w:rsid w:val="43422FC4"/>
    <w:rsid w:val="434B5F61"/>
    <w:rsid w:val="438F40A0"/>
    <w:rsid w:val="43D340A8"/>
    <w:rsid w:val="4419461A"/>
    <w:rsid w:val="448D5F45"/>
    <w:rsid w:val="45092B28"/>
    <w:rsid w:val="451166B5"/>
    <w:rsid w:val="45325A24"/>
    <w:rsid w:val="45970786"/>
    <w:rsid w:val="45A35BE1"/>
    <w:rsid w:val="45BE0526"/>
    <w:rsid w:val="45CC091B"/>
    <w:rsid w:val="45E76415"/>
    <w:rsid w:val="463D6035"/>
    <w:rsid w:val="46521F1E"/>
    <w:rsid w:val="46A160A6"/>
    <w:rsid w:val="46D5554A"/>
    <w:rsid w:val="46E850EA"/>
    <w:rsid w:val="46F94504"/>
    <w:rsid w:val="471A6376"/>
    <w:rsid w:val="476F2186"/>
    <w:rsid w:val="47C83729"/>
    <w:rsid w:val="47F807CD"/>
    <w:rsid w:val="48590EF7"/>
    <w:rsid w:val="48620222"/>
    <w:rsid w:val="48952302"/>
    <w:rsid w:val="48B06C95"/>
    <w:rsid w:val="48BD16AF"/>
    <w:rsid w:val="490C7D41"/>
    <w:rsid w:val="495649FA"/>
    <w:rsid w:val="4A204B14"/>
    <w:rsid w:val="4A69067C"/>
    <w:rsid w:val="4AB40015"/>
    <w:rsid w:val="4AE31F58"/>
    <w:rsid w:val="4B054C48"/>
    <w:rsid w:val="4B0D3348"/>
    <w:rsid w:val="4B265EDC"/>
    <w:rsid w:val="4B31189E"/>
    <w:rsid w:val="4B406CC7"/>
    <w:rsid w:val="4BA426B2"/>
    <w:rsid w:val="4C5D30A7"/>
    <w:rsid w:val="4C663660"/>
    <w:rsid w:val="4D3E3DAF"/>
    <w:rsid w:val="4D4C4DB0"/>
    <w:rsid w:val="4D690508"/>
    <w:rsid w:val="4D97427D"/>
    <w:rsid w:val="4DB43081"/>
    <w:rsid w:val="4DB52828"/>
    <w:rsid w:val="4DFB054F"/>
    <w:rsid w:val="4E21448E"/>
    <w:rsid w:val="4E3221F7"/>
    <w:rsid w:val="4EA40E15"/>
    <w:rsid w:val="4EB42B50"/>
    <w:rsid w:val="4EC90CCF"/>
    <w:rsid w:val="4EE014EC"/>
    <w:rsid w:val="4EEA5B05"/>
    <w:rsid w:val="4F2B6026"/>
    <w:rsid w:val="4F4A7C2E"/>
    <w:rsid w:val="4F6C1739"/>
    <w:rsid w:val="4FAA3D56"/>
    <w:rsid w:val="4FFF283F"/>
    <w:rsid w:val="50772144"/>
    <w:rsid w:val="509A7021"/>
    <w:rsid w:val="50A63F9F"/>
    <w:rsid w:val="50FF32D2"/>
    <w:rsid w:val="51044A52"/>
    <w:rsid w:val="510B4369"/>
    <w:rsid w:val="510F6820"/>
    <w:rsid w:val="51424ECF"/>
    <w:rsid w:val="51550EA9"/>
    <w:rsid w:val="517E39D7"/>
    <w:rsid w:val="519A542A"/>
    <w:rsid w:val="51CB6BEB"/>
    <w:rsid w:val="51CD4715"/>
    <w:rsid w:val="52016BD2"/>
    <w:rsid w:val="52603BA0"/>
    <w:rsid w:val="52CC2C1B"/>
    <w:rsid w:val="52D47D21"/>
    <w:rsid w:val="52E17ED5"/>
    <w:rsid w:val="52ED7885"/>
    <w:rsid w:val="536A6446"/>
    <w:rsid w:val="537230CA"/>
    <w:rsid w:val="53D6609D"/>
    <w:rsid w:val="53FC6ACE"/>
    <w:rsid w:val="54147B52"/>
    <w:rsid w:val="541816F7"/>
    <w:rsid w:val="54660E4D"/>
    <w:rsid w:val="5484665D"/>
    <w:rsid w:val="558D5808"/>
    <w:rsid w:val="55961626"/>
    <w:rsid w:val="55AE60AD"/>
    <w:rsid w:val="55D64F00"/>
    <w:rsid w:val="564D060A"/>
    <w:rsid w:val="56583F04"/>
    <w:rsid w:val="56BC5F12"/>
    <w:rsid w:val="56D95720"/>
    <w:rsid w:val="57394D3D"/>
    <w:rsid w:val="575A2A2C"/>
    <w:rsid w:val="575C1CC8"/>
    <w:rsid w:val="57766D62"/>
    <w:rsid w:val="5780763F"/>
    <w:rsid w:val="586A6BDB"/>
    <w:rsid w:val="586D2BCD"/>
    <w:rsid w:val="58A957AC"/>
    <w:rsid w:val="58DC5632"/>
    <w:rsid w:val="595B4CF8"/>
    <w:rsid w:val="596811C3"/>
    <w:rsid w:val="59A2740C"/>
    <w:rsid w:val="59B75A38"/>
    <w:rsid w:val="5A160809"/>
    <w:rsid w:val="5B363630"/>
    <w:rsid w:val="5B407360"/>
    <w:rsid w:val="5C3A0138"/>
    <w:rsid w:val="5C673325"/>
    <w:rsid w:val="5C6744A2"/>
    <w:rsid w:val="5C757E7F"/>
    <w:rsid w:val="5D3A569E"/>
    <w:rsid w:val="5D783CDA"/>
    <w:rsid w:val="5E59013A"/>
    <w:rsid w:val="5E67546A"/>
    <w:rsid w:val="5EBD663C"/>
    <w:rsid w:val="5EC84A00"/>
    <w:rsid w:val="5F0A6F31"/>
    <w:rsid w:val="5F2658AB"/>
    <w:rsid w:val="5F414A6C"/>
    <w:rsid w:val="5FC4513D"/>
    <w:rsid w:val="5FC51DA0"/>
    <w:rsid w:val="60001041"/>
    <w:rsid w:val="6080745F"/>
    <w:rsid w:val="6131633F"/>
    <w:rsid w:val="61B3056E"/>
    <w:rsid w:val="6262639B"/>
    <w:rsid w:val="628E0D9E"/>
    <w:rsid w:val="62982F8C"/>
    <w:rsid w:val="62EF64B1"/>
    <w:rsid w:val="62F7618C"/>
    <w:rsid w:val="63AD56B0"/>
    <w:rsid w:val="63DF4596"/>
    <w:rsid w:val="63F14444"/>
    <w:rsid w:val="642F4DB7"/>
    <w:rsid w:val="644B5969"/>
    <w:rsid w:val="648A698E"/>
    <w:rsid w:val="64AA756E"/>
    <w:rsid w:val="64AC28AC"/>
    <w:rsid w:val="64B229EC"/>
    <w:rsid w:val="64D43BB1"/>
    <w:rsid w:val="64DD0CB7"/>
    <w:rsid w:val="65041C5D"/>
    <w:rsid w:val="65384127"/>
    <w:rsid w:val="65926EDA"/>
    <w:rsid w:val="65AA7225"/>
    <w:rsid w:val="664A6DB3"/>
    <w:rsid w:val="667446D6"/>
    <w:rsid w:val="67661BC6"/>
    <w:rsid w:val="67A7735B"/>
    <w:rsid w:val="67D00C10"/>
    <w:rsid w:val="68021003"/>
    <w:rsid w:val="68024095"/>
    <w:rsid w:val="68137D28"/>
    <w:rsid w:val="6864090D"/>
    <w:rsid w:val="6894038E"/>
    <w:rsid w:val="68E819D9"/>
    <w:rsid w:val="6902539D"/>
    <w:rsid w:val="692D1AE1"/>
    <w:rsid w:val="696B5AAF"/>
    <w:rsid w:val="698F4691"/>
    <w:rsid w:val="69903460"/>
    <w:rsid w:val="699851AD"/>
    <w:rsid w:val="69B67D29"/>
    <w:rsid w:val="6C1B20C5"/>
    <w:rsid w:val="6C20504D"/>
    <w:rsid w:val="6C213093"/>
    <w:rsid w:val="6C3311BD"/>
    <w:rsid w:val="6C717FC7"/>
    <w:rsid w:val="6D0A10DE"/>
    <w:rsid w:val="6D4E6DD0"/>
    <w:rsid w:val="6DD100F1"/>
    <w:rsid w:val="6E2A65EF"/>
    <w:rsid w:val="6E7354E8"/>
    <w:rsid w:val="6EA66D41"/>
    <w:rsid w:val="6F3A26E8"/>
    <w:rsid w:val="6F60051B"/>
    <w:rsid w:val="6F881EDF"/>
    <w:rsid w:val="6F8A5598"/>
    <w:rsid w:val="6F942528"/>
    <w:rsid w:val="6FB211F9"/>
    <w:rsid w:val="6FC025F4"/>
    <w:rsid w:val="702E686B"/>
    <w:rsid w:val="706F0D4A"/>
    <w:rsid w:val="70981225"/>
    <w:rsid w:val="70BE7462"/>
    <w:rsid w:val="71937888"/>
    <w:rsid w:val="719E4CA8"/>
    <w:rsid w:val="725B4129"/>
    <w:rsid w:val="733221CE"/>
    <w:rsid w:val="73491262"/>
    <w:rsid w:val="7366378E"/>
    <w:rsid w:val="73A64C54"/>
    <w:rsid w:val="73D56FFD"/>
    <w:rsid w:val="73DA2024"/>
    <w:rsid w:val="742E08DC"/>
    <w:rsid w:val="743C7915"/>
    <w:rsid w:val="74445654"/>
    <w:rsid w:val="74461453"/>
    <w:rsid w:val="74BF306B"/>
    <w:rsid w:val="752821B9"/>
    <w:rsid w:val="752D5343"/>
    <w:rsid w:val="75457105"/>
    <w:rsid w:val="755FC868"/>
    <w:rsid w:val="75846F2D"/>
    <w:rsid w:val="75C60B79"/>
    <w:rsid w:val="75CF60A7"/>
    <w:rsid w:val="75D87551"/>
    <w:rsid w:val="76216828"/>
    <w:rsid w:val="76926554"/>
    <w:rsid w:val="76A10290"/>
    <w:rsid w:val="76AD3FF9"/>
    <w:rsid w:val="76D252C8"/>
    <w:rsid w:val="76FA2A99"/>
    <w:rsid w:val="7771546F"/>
    <w:rsid w:val="777D4BE9"/>
    <w:rsid w:val="779A3579"/>
    <w:rsid w:val="77D10621"/>
    <w:rsid w:val="78092C74"/>
    <w:rsid w:val="7846534B"/>
    <w:rsid w:val="78F540FB"/>
    <w:rsid w:val="794C1B10"/>
    <w:rsid w:val="795F350D"/>
    <w:rsid w:val="7973709D"/>
    <w:rsid w:val="79866C7A"/>
    <w:rsid w:val="79895EAC"/>
    <w:rsid w:val="799236E7"/>
    <w:rsid w:val="79993AD1"/>
    <w:rsid w:val="79BC7FBE"/>
    <w:rsid w:val="7A04260F"/>
    <w:rsid w:val="7AA428F7"/>
    <w:rsid w:val="7B4A7137"/>
    <w:rsid w:val="7C1525C8"/>
    <w:rsid w:val="7C8F68E3"/>
    <w:rsid w:val="7CA227A5"/>
    <w:rsid w:val="7CE379F2"/>
    <w:rsid w:val="7CF92B0D"/>
    <w:rsid w:val="7D155246"/>
    <w:rsid w:val="7D2B0B2C"/>
    <w:rsid w:val="7D652500"/>
    <w:rsid w:val="7D68356F"/>
    <w:rsid w:val="7DBA31B2"/>
    <w:rsid w:val="7DC2406E"/>
    <w:rsid w:val="7E2911F2"/>
    <w:rsid w:val="7E4A191D"/>
    <w:rsid w:val="7E4B67C3"/>
    <w:rsid w:val="7E7455A9"/>
    <w:rsid w:val="7ED56104"/>
    <w:rsid w:val="7EEF18BB"/>
    <w:rsid w:val="7F295485"/>
    <w:rsid w:val="7F5A4696"/>
    <w:rsid w:val="7FE54D11"/>
    <w:rsid w:val="7FFD0D27"/>
    <w:rsid w:val="BEFE928A"/>
    <w:rsid w:val="F5FFF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qFormat="1" w:unhideWhenUsed="0" w:uiPriority="9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7"/>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4">
    <w:name w:val="heading 3"/>
    <w:basedOn w:val="1"/>
    <w:next w:val="1"/>
    <w:link w:val="48"/>
    <w:autoRedefine/>
    <w:qFormat/>
    <w:uiPriority w:val="0"/>
    <w:pPr>
      <w:keepNext/>
      <w:keepLines/>
      <w:spacing w:before="260" w:after="260" w:line="416" w:lineRule="auto"/>
      <w:outlineLvl w:val="2"/>
    </w:pPr>
    <w:rPr>
      <w:b/>
      <w:bCs/>
      <w:kern w:val="0"/>
      <w:sz w:val="32"/>
      <w:szCs w:val="32"/>
    </w:rPr>
  </w:style>
  <w:style w:type="paragraph" w:styleId="5">
    <w:name w:val="heading 4"/>
    <w:basedOn w:val="1"/>
    <w:next w:val="1"/>
    <w:link w:val="45"/>
    <w:autoRedefine/>
    <w:qFormat/>
    <w:uiPriority w:val="0"/>
    <w:pPr>
      <w:keepNext/>
      <w:jc w:val="center"/>
      <w:outlineLvl w:val="3"/>
    </w:pPr>
    <w:rPr>
      <w:rFonts w:eastAsia="新宋体"/>
      <w:kern w:val="0"/>
      <w:sz w:val="30"/>
      <w:szCs w:val="21"/>
    </w:rPr>
  </w:style>
  <w:style w:type="paragraph" w:styleId="6">
    <w:name w:val="heading 5"/>
    <w:basedOn w:val="1"/>
    <w:next w:val="1"/>
    <w:link w:val="49"/>
    <w:autoRedefine/>
    <w:qFormat/>
    <w:uiPriority w:val="0"/>
    <w:pPr>
      <w:keepNext/>
      <w:keepLines/>
      <w:spacing w:before="280" w:after="290" w:line="376" w:lineRule="auto"/>
      <w:outlineLvl w:val="4"/>
    </w:pPr>
    <w:rPr>
      <w:b/>
      <w:bCs/>
      <w:kern w:val="0"/>
      <w:sz w:val="28"/>
      <w:szCs w:val="28"/>
    </w:rPr>
  </w:style>
  <w:style w:type="paragraph" w:styleId="7">
    <w:name w:val="heading 6"/>
    <w:basedOn w:val="1"/>
    <w:next w:val="1"/>
    <w:link w:val="50"/>
    <w:autoRedefine/>
    <w:qFormat/>
    <w:uiPriority w:val="0"/>
    <w:pPr>
      <w:keepNext/>
      <w:jc w:val="center"/>
      <w:outlineLvl w:val="5"/>
    </w:pPr>
    <w:rPr>
      <w:b/>
      <w:kern w:val="0"/>
      <w:sz w:val="44"/>
      <w:szCs w:val="20"/>
    </w:rPr>
  </w:style>
  <w:style w:type="paragraph" w:styleId="8">
    <w:name w:val="heading 7"/>
    <w:basedOn w:val="1"/>
    <w:next w:val="1"/>
    <w:link w:val="51"/>
    <w:autoRedefine/>
    <w:qFormat/>
    <w:uiPriority w:val="0"/>
    <w:pPr>
      <w:keepNext/>
      <w:keepLines/>
      <w:spacing w:before="240" w:after="64" w:line="320" w:lineRule="auto"/>
      <w:outlineLvl w:val="6"/>
    </w:pPr>
    <w:rPr>
      <w:b/>
      <w:bCs/>
      <w:kern w:val="0"/>
      <w:sz w:val="24"/>
    </w:rPr>
  </w:style>
  <w:style w:type="paragraph" w:styleId="9">
    <w:name w:val="heading 8"/>
    <w:basedOn w:val="1"/>
    <w:next w:val="1"/>
    <w:link w:val="52"/>
    <w:autoRedefine/>
    <w:qFormat/>
    <w:uiPriority w:val="0"/>
    <w:pPr>
      <w:keepNext/>
      <w:keepLines/>
      <w:spacing w:before="240" w:after="64" w:line="320" w:lineRule="auto"/>
      <w:outlineLvl w:val="7"/>
    </w:pPr>
    <w:rPr>
      <w:rFonts w:ascii="Arial" w:hAnsi="Arial" w:eastAsia="黑体"/>
      <w:kern w:val="0"/>
      <w:sz w:val="24"/>
    </w:rPr>
  </w:style>
  <w:style w:type="paragraph" w:styleId="10">
    <w:name w:val="heading 9"/>
    <w:basedOn w:val="1"/>
    <w:next w:val="1"/>
    <w:link w:val="53"/>
    <w:autoRedefine/>
    <w:qFormat/>
    <w:uiPriority w:val="0"/>
    <w:pPr>
      <w:keepNext/>
      <w:keepLines/>
      <w:spacing w:before="240" w:after="64" w:line="320" w:lineRule="auto"/>
      <w:outlineLvl w:val="8"/>
    </w:pPr>
    <w:rPr>
      <w:rFonts w:ascii="Arial" w:hAnsi="Arial" w:eastAsia="黑体"/>
      <w:kern w:val="0"/>
      <w:sz w:val="24"/>
      <w:szCs w:val="21"/>
    </w:rPr>
  </w:style>
  <w:style w:type="character" w:default="1" w:styleId="38">
    <w:name w:val="Default Paragraph Font"/>
    <w:autoRedefine/>
    <w:semiHidden/>
    <w:unhideWhenUsed/>
    <w:qFormat/>
    <w:uiPriority w:val="1"/>
  </w:style>
  <w:style w:type="table" w:default="1" w:styleId="36">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semiHidden/>
    <w:qFormat/>
    <w:uiPriority w:val="99"/>
    <w:pPr>
      <w:ind w:left="1260"/>
      <w:jc w:val="left"/>
    </w:pPr>
  </w:style>
  <w:style w:type="paragraph" w:styleId="12">
    <w:name w:val="Note Heading"/>
    <w:basedOn w:val="1"/>
    <w:next w:val="1"/>
    <w:autoRedefine/>
    <w:qFormat/>
    <w:uiPriority w:val="0"/>
    <w:rPr>
      <w:rFonts w:ascii="Verdana" w:hAnsi="Verdana"/>
      <w:szCs w:val="20"/>
    </w:rPr>
  </w:style>
  <w:style w:type="paragraph" w:styleId="13">
    <w:name w:val="Normal Indent"/>
    <w:basedOn w:val="1"/>
    <w:link w:val="54"/>
    <w:autoRedefine/>
    <w:qFormat/>
    <w:uiPriority w:val="0"/>
    <w:pPr>
      <w:ind w:firstLine="420"/>
    </w:pPr>
    <w:rPr>
      <w:kern w:val="0"/>
      <w:sz w:val="20"/>
      <w:szCs w:val="20"/>
    </w:rPr>
  </w:style>
  <w:style w:type="paragraph" w:styleId="14">
    <w:name w:val="Document Map"/>
    <w:basedOn w:val="1"/>
    <w:link w:val="55"/>
    <w:autoRedefine/>
    <w:semiHidden/>
    <w:qFormat/>
    <w:uiPriority w:val="0"/>
    <w:pPr>
      <w:shd w:val="clear" w:color="auto" w:fill="000080"/>
    </w:pPr>
    <w:rPr>
      <w:kern w:val="0"/>
      <w:sz w:val="20"/>
    </w:rPr>
  </w:style>
  <w:style w:type="paragraph" w:styleId="15">
    <w:name w:val="toa heading"/>
    <w:basedOn w:val="1"/>
    <w:next w:val="1"/>
    <w:autoRedefine/>
    <w:qFormat/>
    <w:uiPriority w:val="0"/>
    <w:pPr>
      <w:adjustRightInd w:val="0"/>
      <w:spacing w:line="360" w:lineRule="atLeast"/>
      <w:jc w:val="center"/>
      <w:textAlignment w:val="baseline"/>
    </w:pPr>
    <w:rPr>
      <w:rFonts w:ascii="Arial" w:hAnsi="Arial" w:eastAsia="黑体"/>
      <w:kern w:val="0"/>
      <w:sz w:val="36"/>
      <w:szCs w:val="20"/>
    </w:rPr>
  </w:style>
  <w:style w:type="paragraph" w:styleId="16">
    <w:name w:val="annotation text"/>
    <w:basedOn w:val="1"/>
    <w:link w:val="56"/>
    <w:autoRedefine/>
    <w:unhideWhenUsed/>
    <w:qFormat/>
    <w:uiPriority w:val="99"/>
    <w:pPr>
      <w:jc w:val="left"/>
    </w:pPr>
  </w:style>
  <w:style w:type="paragraph" w:styleId="17">
    <w:name w:val="Body Text 3"/>
    <w:basedOn w:val="1"/>
    <w:link w:val="57"/>
    <w:autoRedefine/>
    <w:qFormat/>
    <w:uiPriority w:val="0"/>
    <w:pPr>
      <w:spacing w:after="120"/>
    </w:pPr>
    <w:rPr>
      <w:kern w:val="0"/>
      <w:sz w:val="16"/>
      <w:szCs w:val="16"/>
    </w:rPr>
  </w:style>
  <w:style w:type="paragraph" w:styleId="18">
    <w:name w:val="Body Text"/>
    <w:basedOn w:val="1"/>
    <w:link w:val="58"/>
    <w:autoRedefine/>
    <w:qFormat/>
    <w:uiPriority w:val="0"/>
    <w:rPr>
      <w:rFonts w:ascii="仿宋_GB2312" w:eastAsia="仿宋_GB2312"/>
      <w:kern w:val="0"/>
      <w:sz w:val="24"/>
      <w:szCs w:val="20"/>
    </w:rPr>
  </w:style>
  <w:style w:type="paragraph" w:styleId="19">
    <w:name w:val="Body Text Indent"/>
    <w:basedOn w:val="1"/>
    <w:next w:val="20"/>
    <w:link w:val="59"/>
    <w:autoRedefine/>
    <w:qFormat/>
    <w:uiPriority w:val="0"/>
    <w:pPr>
      <w:ind w:left="765"/>
    </w:pPr>
    <w:rPr>
      <w:rFonts w:ascii="仿宋_GB2312" w:eastAsia="仿宋_GB2312"/>
      <w:kern w:val="0"/>
      <w:sz w:val="28"/>
      <w:szCs w:val="20"/>
    </w:rPr>
  </w:style>
  <w:style w:type="paragraph" w:styleId="20">
    <w:name w:val="envelope return"/>
    <w:basedOn w:val="1"/>
    <w:autoRedefine/>
    <w:unhideWhenUsed/>
    <w:qFormat/>
    <w:uiPriority w:val="99"/>
    <w:pPr>
      <w:snapToGrid w:val="0"/>
    </w:pPr>
    <w:rPr>
      <w:rFonts w:ascii="Arial" w:hAnsi="Arial"/>
    </w:rPr>
  </w:style>
  <w:style w:type="paragraph" w:styleId="21">
    <w:name w:val="Block Text"/>
    <w:basedOn w:val="1"/>
    <w:next w:val="18"/>
    <w:autoRedefine/>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22">
    <w:name w:val="Plain Text"/>
    <w:basedOn w:val="1"/>
    <w:link w:val="60"/>
    <w:autoRedefine/>
    <w:qFormat/>
    <w:uiPriority w:val="0"/>
    <w:rPr>
      <w:rFonts w:ascii="宋体" w:hAnsi="Courier New"/>
      <w:kern w:val="0"/>
      <w:sz w:val="20"/>
      <w:szCs w:val="21"/>
    </w:rPr>
  </w:style>
  <w:style w:type="paragraph" w:styleId="23">
    <w:name w:val="Date"/>
    <w:basedOn w:val="1"/>
    <w:next w:val="1"/>
    <w:link w:val="61"/>
    <w:autoRedefine/>
    <w:qFormat/>
    <w:uiPriority w:val="0"/>
    <w:rPr>
      <w:kern w:val="0"/>
      <w:sz w:val="24"/>
      <w:szCs w:val="20"/>
    </w:rPr>
  </w:style>
  <w:style w:type="paragraph" w:styleId="24">
    <w:name w:val="Body Text Indent 2"/>
    <w:basedOn w:val="1"/>
    <w:link w:val="62"/>
    <w:autoRedefine/>
    <w:qFormat/>
    <w:uiPriority w:val="0"/>
    <w:pPr>
      <w:spacing w:line="500" w:lineRule="exact"/>
      <w:ind w:firstLine="560" w:firstLineChars="200"/>
    </w:pPr>
    <w:rPr>
      <w:rFonts w:eastAsia="仿宋_GB2312"/>
      <w:kern w:val="0"/>
      <w:sz w:val="28"/>
      <w:szCs w:val="20"/>
    </w:rPr>
  </w:style>
  <w:style w:type="paragraph" w:styleId="25">
    <w:name w:val="Balloon Text"/>
    <w:basedOn w:val="1"/>
    <w:link w:val="63"/>
    <w:autoRedefine/>
    <w:semiHidden/>
    <w:qFormat/>
    <w:uiPriority w:val="0"/>
    <w:rPr>
      <w:kern w:val="0"/>
      <w:sz w:val="18"/>
      <w:szCs w:val="18"/>
    </w:rPr>
  </w:style>
  <w:style w:type="paragraph" w:styleId="26">
    <w:name w:val="footer"/>
    <w:basedOn w:val="1"/>
    <w:link w:val="64"/>
    <w:autoRedefine/>
    <w:qFormat/>
    <w:uiPriority w:val="99"/>
    <w:pPr>
      <w:tabs>
        <w:tab w:val="center" w:pos="4153"/>
        <w:tab w:val="right" w:pos="8306"/>
      </w:tabs>
      <w:snapToGrid w:val="0"/>
      <w:jc w:val="left"/>
    </w:pPr>
    <w:rPr>
      <w:kern w:val="0"/>
      <w:sz w:val="18"/>
      <w:szCs w:val="20"/>
    </w:rPr>
  </w:style>
  <w:style w:type="paragraph" w:styleId="27">
    <w:name w:val="header"/>
    <w:basedOn w:val="1"/>
    <w:link w:val="65"/>
    <w:autoRedefine/>
    <w:qFormat/>
    <w:uiPriority w:val="0"/>
    <w:pPr>
      <w:pBdr>
        <w:bottom w:val="single" w:color="auto" w:sz="6" w:space="1"/>
      </w:pBdr>
      <w:tabs>
        <w:tab w:val="center" w:pos="4153"/>
        <w:tab w:val="right" w:pos="8306"/>
      </w:tabs>
      <w:snapToGrid w:val="0"/>
      <w:jc w:val="center"/>
    </w:pPr>
    <w:rPr>
      <w:kern w:val="0"/>
      <w:sz w:val="18"/>
      <w:szCs w:val="18"/>
    </w:rPr>
  </w:style>
  <w:style w:type="paragraph" w:styleId="28">
    <w:name w:val="toc 1"/>
    <w:basedOn w:val="1"/>
    <w:next w:val="1"/>
    <w:autoRedefine/>
    <w:semiHidden/>
    <w:qFormat/>
    <w:uiPriority w:val="0"/>
    <w:rPr>
      <w:sz w:val="24"/>
    </w:rPr>
  </w:style>
  <w:style w:type="paragraph" w:styleId="29">
    <w:name w:val="List"/>
    <w:basedOn w:val="1"/>
    <w:autoRedefine/>
    <w:qFormat/>
    <w:uiPriority w:val="0"/>
    <w:pPr>
      <w:ind w:left="200" w:hanging="200" w:hangingChars="200"/>
    </w:pPr>
  </w:style>
  <w:style w:type="paragraph" w:styleId="30">
    <w:name w:val="Body Text Indent 3"/>
    <w:basedOn w:val="1"/>
    <w:next w:val="15"/>
    <w:link w:val="66"/>
    <w:autoRedefine/>
    <w:qFormat/>
    <w:uiPriority w:val="0"/>
    <w:pPr>
      <w:spacing w:after="120"/>
      <w:ind w:left="420" w:leftChars="200"/>
    </w:pPr>
    <w:rPr>
      <w:kern w:val="0"/>
      <w:sz w:val="16"/>
      <w:szCs w:val="16"/>
    </w:rPr>
  </w:style>
  <w:style w:type="paragraph" w:styleId="31">
    <w:name w:val="Body Text 2"/>
    <w:basedOn w:val="1"/>
    <w:link w:val="67"/>
    <w:autoRedefine/>
    <w:qFormat/>
    <w:uiPriority w:val="0"/>
    <w:pPr>
      <w:snapToGrid w:val="0"/>
    </w:pPr>
    <w:rPr>
      <w:b/>
      <w:bCs/>
      <w:kern w:val="0"/>
      <w:sz w:val="18"/>
    </w:rPr>
  </w:style>
  <w:style w:type="paragraph" w:styleId="32">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33">
    <w:name w:val="annotation subject"/>
    <w:basedOn w:val="16"/>
    <w:next w:val="16"/>
    <w:link w:val="68"/>
    <w:autoRedefine/>
    <w:unhideWhenUsed/>
    <w:qFormat/>
    <w:uiPriority w:val="99"/>
    <w:rPr>
      <w:b/>
      <w:bCs/>
    </w:rPr>
  </w:style>
  <w:style w:type="paragraph" w:styleId="34">
    <w:name w:val="Body Text First Indent"/>
    <w:basedOn w:val="18"/>
    <w:next w:val="35"/>
    <w:link w:val="69"/>
    <w:autoRedefine/>
    <w:qFormat/>
    <w:uiPriority w:val="0"/>
    <w:pPr>
      <w:spacing w:after="120"/>
      <w:ind w:firstLine="420" w:firstLineChars="100"/>
    </w:pPr>
    <w:rPr>
      <w:rFonts w:ascii="Times New Roman" w:eastAsia="宋体"/>
      <w:szCs w:val="24"/>
    </w:rPr>
  </w:style>
  <w:style w:type="paragraph" w:styleId="35">
    <w:name w:val="Body Text First Indent 2"/>
    <w:basedOn w:val="19"/>
    <w:autoRedefine/>
    <w:unhideWhenUsed/>
    <w:qFormat/>
    <w:uiPriority w:val="99"/>
    <w:pPr>
      <w:ind w:firstLine="200" w:firstLineChars="200"/>
    </w:pPr>
  </w:style>
  <w:style w:type="table" w:styleId="37">
    <w:name w:val="Table Grid"/>
    <w:basedOn w:val="36"/>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9">
    <w:name w:val="Strong"/>
    <w:autoRedefine/>
    <w:qFormat/>
    <w:uiPriority w:val="0"/>
    <w:rPr>
      <w:b/>
      <w:bCs/>
    </w:rPr>
  </w:style>
  <w:style w:type="character" w:styleId="40">
    <w:name w:val="page number"/>
    <w:autoRedefine/>
    <w:qFormat/>
    <w:uiPriority w:val="0"/>
  </w:style>
  <w:style w:type="character" w:styleId="41">
    <w:name w:val="FollowedHyperlink"/>
    <w:autoRedefine/>
    <w:qFormat/>
    <w:uiPriority w:val="0"/>
    <w:rPr>
      <w:color w:val="800080"/>
      <w:u w:val="single"/>
    </w:rPr>
  </w:style>
  <w:style w:type="character" w:styleId="42">
    <w:name w:val="Hyperlink"/>
    <w:autoRedefine/>
    <w:qFormat/>
    <w:uiPriority w:val="0"/>
    <w:rPr>
      <w:color w:val="0000FF"/>
      <w:u w:val="single"/>
    </w:rPr>
  </w:style>
  <w:style w:type="character" w:styleId="43">
    <w:name w:val="annotation reference"/>
    <w:autoRedefine/>
    <w:unhideWhenUsed/>
    <w:qFormat/>
    <w:uiPriority w:val="99"/>
    <w:rPr>
      <w:sz w:val="21"/>
      <w:szCs w:val="21"/>
    </w:rPr>
  </w:style>
  <w:style w:type="paragraph" w:customStyle="1" w:styleId="44">
    <w:name w:val="列出段落1"/>
    <w:basedOn w:val="1"/>
    <w:autoRedefine/>
    <w:qFormat/>
    <w:uiPriority w:val="34"/>
    <w:pPr>
      <w:widowControl/>
      <w:ind w:left="720"/>
      <w:contextualSpacing/>
      <w:jc w:val="left"/>
    </w:pPr>
    <w:rPr>
      <w:kern w:val="0"/>
      <w:sz w:val="24"/>
      <w:lang w:eastAsia="en-US" w:bidi="en-US"/>
    </w:rPr>
  </w:style>
  <w:style w:type="character" w:customStyle="1" w:styleId="45">
    <w:name w:val="标题 4 字符"/>
    <w:link w:val="5"/>
    <w:autoRedefine/>
    <w:qFormat/>
    <w:uiPriority w:val="0"/>
    <w:rPr>
      <w:rFonts w:ascii="Times New Roman" w:hAnsi="Times New Roman" w:eastAsia="新宋体" w:cs="Times New Roman"/>
      <w:sz w:val="30"/>
      <w:szCs w:val="21"/>
    </w:rPr>
  </w:style>
  <w:style w:type="character" w:customStyle="1" w:styleId="46">
    <w:name w:val="标题 1 字符"/>
    <w:link w:val="2"/>
    <w:autoRedefine/>
    <w:qFormat/>
    <w:uiPriority w:val="0"/>
    <w:rPr>
      <w:rFonts w:ascii="Times New Roman" w:hAnsi="Times New Roman" w:eastAsia="宋体" w:cs="Times New Roman"/>
      <w:b/>
      <w:bCs/>
      <w:kern w:val="44"/>
      <w:sz w:val="44"/>
      <w:szCs w:val="44"/>
    </w:rPr>
  </w:style>
  <w:style w:type="character" w:customStyle="1" w:styleId="47">
    <w:name w:val="标题 2 字符"/>
    <w:link w:val="3"/>
    <w:autoRedefine/>
    <w:qFormat/>
    <w:uiPriority w:val="0"/>
    <w:rPr>
      <w:rFonts w:ascii="Arial" w:hAnsi="Arial" w:eastAsia="黑体" w:cs="Times New Roman"/>
      <w:b/>
      <w:bCs/>
      <w:sz w:val="32"/>
      <w:szCs w:val="32"/>
    </w:rPr>
  </w:style>
  <w:style w:type="character" w:customStyle="1" w:styleId="48">
    <w:name w:val="标题 3 字符"/>
    <w:link w:val="4"/>
    <w:autoRedefine/>
    <w:qFormat/>
    <w:uiPriority w:val="0"/>
    <w:rPr>
      <w:rFonts w:ascii="Times New Roman" w:hAnsi="Times New Roman" w:eastAsia="宋体" w:cs="Times New Roman"/>
      <w:b/>
      <w:bCs/>
      <w:sz w:val="32"/>
      <w:szCs w:val="32"/>
    </w:rPr>
  </w:style>
  <w:style w:type="character" w:customStyle="1" w:styleId="49">
    <w:name w:val="标题 5 字符"/>
    <w:link w:val="6"/>
    <w:autoRedefine/>
    <w:qFormat/>
    <w:uiPriority w:val="0"/>
    <w:rPr>
      <w:rFonts w:ascii="Times New Roman" w:hAnsi="Times New Roman" w:eastAsia="宋体" w:cs="Times New Roman"/>
      <w:b/>
      <w:bCs/>
      <w:sz w:val="28"/>
      <w:szCs w:val="28"/>
    </w:rPr>
  </w:style>
  <w:style w:type="character" w:customStyle="1" w:styleId="50">
    <w:name w:val="标题 6 字符"/>
    <w:link w:val="7"/>
    <w:autoRedefine/>
    <w:qFormat/>
    <w:uiPriority w:val="0"/>
    <w:rPr>
      <w:rFonts w:ascii="Times New Roman" w:hAnsi="Times New Roman" w:eastAsia="宋体" w:cs="Times New Roman"/>
      <w:b/>
      <w:sz w:val="44"/>
      <w:szCs w:val="20"/>
    </w:rPr>
  </w:style>
  <w:style w:type="character" w:customStyle="1" w:styleId="51">
    <w:name w:val="标题 7 字符"/>
    <w:link w:val="8"/>
    <w:autoRedefine/>
    <w:qFormat/>
    <w:uiPriority w:val="0"/>
    <w:rPr>
      <w:rFonts w:ascii="Times New Roman" w:hAnsi="Times New Roman" w:eastAsia="宋体" w:cs="Times New Roman"/>
      <w:b/>
      <w:bCs/>
      <w:sz w:val="24"/>
      <w:szCs w:val="24"/>
    </w:rPr>
  </w:style>
  <w:style w:type="character" w:customStyle="1" w:styleId="52">
    <w:name w:val="标题 8 字符"/>
    <w:link w:val="9"/>
    <w:autoRedefine/>
    <w:qFormat/>
    <w:uiPriority w:val="0"/>
    <w:rPr>
      <w:rFonts w:ascii="Arial" w:hAnsi="Arial" w:eastAsia="黑体" w:cs="Times New Roman"/>
      <w:sz w:val="24"/>
      <w:szCs w:val="24"/>
    </w:rPr>
  </w:style>
  <w:style w:type="character" w:customStyle="1" w:styleId="53">
    <w:name w:val="标题 9 字符"/>
    <w:link w:val="10"/>
    <w:autoRedefine/>
    <w:qFormat/>
    <w:uiPriority w:val="0"/>
    <w:rPr>
      <w:rFonts w:ascii="Arial" w:hAnsi="Arial" w:eastAsia="黑体" w:cs="Times New Roman"/>
      <w:sz w:val="24"/>
      <w:szCs w:val="21"/>
    </w:rPr>
  </w:style>
  <w:style w:type="character" w:customStyle="1" w:styleId="54">
    <w:name w:val="正文缩进 字符"/>
    <w:link w:val="13"/>
    <w:autoRedefine/>
    <w:qFormat/>
    <w:uiPriority w:val="0"/>
    <w:rPr>
      <w:rFonts w:ascii="Times New Roman" w:hAnsi="Times New Roman" w:eastAsia="宋体" w:cs="Times New Roman"/>
      <w:kern w:val="0"/>
      <w:sz w:val="20"/>
      <w:szCs w:val="20"/>
    </w:rPr>
  </w:style>
  <w:style w:type="character" w:customStyle="1" w:styleId="55">
    <w:name w:val="文档结构图 字符"/>
    <w:link w:val="14"/>
    <w:autoRedefine/>
    <w:semiHidden/>
    <w:qFormat/>
    <w:uiPriority w:val="0"/>
    <w:rPr>
      <w:szCs w:val="24"/>
      <w:shd w:val="clear" w:color="auto" w:fill="000080"/>
    </w:rPr>
  </w:style>
  <w:style w:type="character" w:customStyle="1" w:styleId="56">
    <w:name w:val="批注文字 字符"/>
    <w:link w:val="16"/>
    <w:autoRedefine/>
    <w:qFormat/>
    <w:uiPriority w:val="99"/>
    <w:rPr>
      <w:kern w:val="2"/>
      <w:sz w:val="21"/>
      <w:szCs w:val="24"/>
    </w:rPr>
  </w:style>
  <w:style w:type="character" w:customStyle="1" w:styleId="57">
    <w:name w:val="正文文本 3 字符"/>
    <w:link w:val="17"/>
    <w:autoRedefine/>
    <w:qFormat/>
    <w:uiPriority w:val="0"/>
    <w:rPr>
      <w:rFonts w:ascii="Times New Roman" w:hAnsi="Times New Roman" w:eastAsia="宋体" w:cs="Times New Roman"/>
      <w:sz w:val="16"/>
      <w:szCs w:val="16"/>
    </w:rPr>
  </w:style>
  <w:style w:type="character" w:customStyle="1" w:styleId="58">
    <w:name w:val="正文文本 字符"/>
    <w:link w:val="18"/>
    <w:autoRedefine/>
    <w:qFormat/>
    <w:uiPriority w:val="0"/>
    <w:rPr>
      <w:rFonts w:ascii="仿宋_GB2312" w:hAnsi="Times New Roman" w:eastAsia="仿宋_GB2312" w:cs="Times New Roman"/>
      <w:sz w:val="24"/>
      <w:szCs w:val="20"/>
    </w:rPr>
  </w:style>
  <w:style w:type="character" w:customStyle="1" w:styleId="59">
    <w:name w:val="正文文本缩进 字符"/>
    <w:link w:val="19"/>
    <w:autoRedefine/>
    <w:qFormat/>
    <w:uiPriority w:val="0"/>
    <w:rPr>
      <w:rFonts w:ascii="仿宋_GB2312" w:hAnsi="Times New Roman" w:eastAsia="仿宋_GB2312" w:cs="Times New Roman"/>
      <w:sz w:val="28"/>
      <w:szCs w:val="20"/>
    </w:rPr>
  </w:style>
  <w:style w:type="character" w:customStyle="1" w:styleId="60">
    <w:name w:val="纯文本 字符"/>
    <w:link w:val="22"/>
    <w:autoRedefine/>
    <w:qFormat/>
    <w:uiPriority w:val="0"/>
    <w:rPr>
      <w:rFonts w:ascii="宋体" w:hAnsi="Courier New" w:eastAsia="宋体" w:cs="Courier New"/>
      <w:szCs w:val="21"/>
    </w:rPr>
  </w:style>
  <w:style w:type="character" w:customStyle="1" w:styleId="61">
    <w:name w:val="日期 字符"/>
    <w:link w:val="23"/>
    <w:autoRedefine/>
    <w:qFormat/>
    <w:uiPriority w:val="0"/>
    <w:rPr>
      <w:rFonts w:ascii="Times New Roman" w:hAnsi="Times New Roman" w:eastAsia="宋体" w:cs="Times New Roman"/>
      <w:sz w:val="24"/>
      <w:szCs w:val="20"/>
    </w:rPr>
  </w:style>
  <w:style w:type="character" w:customStyle="1" w:styleId="62">
    <w:name w:val="正文文本缩进 2 字符"/>
    <w:link w:val="24"/>
    <w:autoRedefine/>
    <w:qFormat/>
    <w:uiPriority w:val="0"/>
    <w:rPr>
      <w:rFonts w:ascii="Times New Roman" w:hAnsi="Times New Roman" w:eastAsia="仿宋_GB2312" w:cs="Times New Roman"/>
      <w:sz w:val="28"/>
      <w:szCs w:val="20"/>
    </w:rPr>
  </w:style>
  <w:style w:type="character" w:customStyle="1" w:styleId="63">
    <w:name w:val="批注框文本 字符"/>
    <w:link w:val="25"/>
    <w:autoRedefine/>
    <w:semiHidden/>
    <w:qFormat/>
    <w:uiPriority w:val="0"/>
    <w:rPr>
      <w:sz w:val="18"/>
      <w:szCs w:val="18"/>
    </w:rPr>
  </w:style>
  <w:style w:type="character" w:customStyle="1" w:styleId="64">
    <w:name w:val="页脚 字符"/>
    <w:link w:val="26"/>
    <w:autoRedefine/>
    <w:qFormat/>
    <w:uiPriority w:val="99"/>
    <w:rPr>
      <w:rFonts w:ascii="Times New Roman" w:hAnsi="Times New Roman" w:eastAsia="宋体" w:cs="Times New Roman"/>
      <w:sz w:val="18"/>
      <w:szCs w:val="20"/>
    </w:rPr>
  </w:style>
  <w:style w:type="character" w:customStyle="1" w:styleId="65">
    <w:name w:val="页眉 字符"/>
    <w:link w:val="27"/>
    <w:autoRedefine/>
    <w:qFormat/>
    <w:uiPriority w:val="0"/>
    <w:rPr>
      <w:rFonts w:ascii="Times New Roman" w:hAnsi="Times New Roman" w:eastAsia="宋体" w:cs="Times New Roman"/>
      <w:sz w:val="18"/>
      <w:szCs w:val="18"/>
    </w:rPr>
  </w:style>
  <w:style w:type="character" w:customStyle="1" w:styleId="66">
    <w:name w:val="正文文本缩进 3 字符"/>
    <w:link w:val="30"/>
    <w:autoRedefine/>
    <w:qFormat/>
    <w:uiPriority w:val="0"/>
    <w:rPr>
      <w:rFonts w:ascii="Times New Roman" w:hAnsi="Times New Roman" w:eastAsia="宋体" w:cs="Times New Roman"/>
      <w:sz w:val="16"/>
      <w:szCs w:val="16"/>
    </w:rPr>
  </w:style>
  <w:style w:type="character" w:customStyle="1" w:styleId="67">
    <w:name w:val="正文文本 2 字符"/>
    <w:link w:val="31"/>
    <w:autoRedefine/>
    <w:qFormat/>
    <w:uiPriority w:val="0"/>
    <w:rPr>
      <w:rFonts w:ascii="Times New Roman" w:hAnsi="Times New Roman" w:eastAsia="宋体" w:cs="Times New Roman"/>
      <w:b/>
      <w:bCs/>
      <w:sz w:val="18"/>
      <w:szCs w:val="24"/>
    </w:rPr>
  </w:style>
  <w:style w:type="character" w:customStyle="1" w:styleId="68">
    <w:name w:val="批注主题 字符"/>
    <w:link w:val="33"/>
    <w:autoRedefine/>
    <w:semiHidden/>
    <w:qFormat/>
    <w:uiPriority w:val="99"/>
    <w:rPr>
      <w:b/>
      <w:bCs/>
      <w:kern w:val="2"/>
      <w:sz w:val="21"/>
      <w:szCs w:val="24"/>
    </w:rPr>
  </w:style>
  <w:style w:type="character" w:customStyle="1" w:styleId="69">
    <w:name w:val="正文文本首行缩进 字符"/>
    <w:link w:val="34"/>
    <w:autoRedefine/>
    <w:qFormat/>
    <w:uiPriority w:val="0"/>
    <w:rPr>
      <w:rFonts w:ascii="Times New Roman" w:hAnsi="Times New Roman" w:eastAsia="宋体" w:cs="Times New Roman"/>
      <w:sz w:val="24"/>
      <w:szCs w:val="24"/>
    </w:rPr>
  </w:style>
  <w:style w:type="paragraph" w:customStyle="1" w:styleId="70">
    <w:name w:val="标题 21"/>
    <w:basedOn w:val="1"/>
    <w:next w:val="1"/>
    <w:autoRedefine/>
    <w:qFormat/>
    <w:uiPriority w:val="0"/>
    <w:pPr>
      <w:keepNext/>
      <w:keepLines/>
      <w:spacing w:before="260" w:after="260" w:line="416" w:lineRule="auto"/>
      <w:jc w:val="center"/>
      <w:outlineLvl w:val="1"/>
    </w:pPr>
    <w:rPr>
      <w:rFonts w:ascii="Arial" w:hAnsi="Arial" w:eastAsia="幼圆"/>
      <w:b/>
      <w:bCs/>
      <w:sz w:val="44"/>
      <w:szCs w:val="44"/>
    </w:rPr>
  </w:style>
  <w:style w:type="paragraph" w:customStyle="1" w:styleId="71">
    <w:name w:val="Default"/>
    <w:basedOn w:val="1"/>
    <w:autoRedefine/>
    <w:qFormat/>
    <w:uiPriority w:val="0"/>
    <w:pPr>
      <w:autoSpaceDE w:val="0"/>
      <w:autoSpaceDN w:val="0"/>
      <w:adjustRightInd w:val="0"/>
      <w:jc w:val="left"/>
    </w:pPr>
    <w:rPr>
      <w:rFonts w:ascii="Arial" w:hAnsi="Arial" w:eastAsia="PMingLiU-ExtB"/>
      <w:kern w:val="0"/>
      <w:sz w:val="20"/>
      <w:szCs w:val="20"/>
    </w:rPr>
  </w:style>
  <w:style w:type="paragraph" w:customStyle="1" w:styleId="72">
    <w:name w:val="正文1"/>
    <w:next w:val="1"/>
    <w:autoRedefine/>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73">
    <w:name w:val="style4"/>
    <w:basedOn w:val="1"/>
    <w:next w:val="74"/>
    <w:autoRedefine/>
    <w:qFormat/>
    <w:uiPriority w:val="0"/>
    <w:pPr>
      <w:widowControl/>
      <w:spacing w:before="280" w:after="280"/>
    </w:pPr>
    <w:rPr>
      <w:rFonts w:ascii="宋体"/>
      <w:sz w:val="18"/>
    </w:rPr>
  </w:style>
  <w:style w:type="paragraph" w:customStyle="1" w:styleId="7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75">
    <w:name w:val="font11"/>
    <w:autoRedefine/>
    <w:qFormat/>
    <w:uiPriority w:val="0"/>
    <w:rPr>
      <w:rFonts w:hint="eastAsia" w:ascii="宋体" w:hAnsi="宋体" w:eastAsia="宋体" w:cs="宋体"/>
      <w:color w:val="000000"/>
      <w:sz w:val="24"/>
      <w:szCs w:val="24"/>
      <w:u w:val="none"/>
    </w:rPr>
  </w:style>
  <w:style w:type="character" w:customStyle="1" w:styleId="76">
    <w:name w:val="font41"/>
    <w:autoRedefine/>
    <w:qFormat/>
    <w:uiPriority w:val="0"/>
    <w:rPr>
      <w:rFonts w:hint="eastAsia" w:ascii="宋体" w:hAnsi="宋体" w:eastAsia="宋体" w:cs="宋体"/>
      <w:color w:val="FFCC00"/>
      <w:sz w:val="24"/>
      <w:szCs w:val="24"/>
      <w:u w:val="none"/>
    </w:rPr>
  </w:style>
  <w:style w:type="character" w:customStyle="1" w:styleId="77">
    <w:name w:val="样式 ssss + 宋体 五号1 Char"/>
    <w:link w:val="78"/>
    <w:autoRedefine/>
    <w:qFormat/>
    <w:uiPriority w:val="0"/>
    <w:rPr>
      <w:rFonts w:ascii="宋体" w:hAnsi="宋体" w:eastAsia="宋体" w:cs="Times New Roman"/>
      <w:sz w:val="24"/>
      <w:szCs w:val="24"/>
    </w:rPr>
  </w:style>
  <w:style w:type="paragraph" w:customStyle="1" w:styleId="78">
    <w:name w:val="样式 ssss + 宋体 五号1"/>
    <w:basedOn w:val="79"/>
    <w:link w:val="77"/>
    <w:autoRedefine/>
    <w:qFormat/>
    <w:uiPriority w:val="0"/>
    <w:rPr>
      <w:rFonts w:ascii="宋体" w:hAnsi="宋体"/>
    </w:rPr>
  </w:style>
  <w:style w:type="paragraph" w:customStyle="1" w:styleId="79">
    <w:name w:val="ssss"/>
    <w:basedOn w:val="1"/>
    <w:link w:val="80"/>
    <w:autoRedefine/>
    <w:qFormat/>
    <w:uiPriority w:val="0"/>
    <w:pPr>
      <w:spacing w:line="360" w:lineRule="auto"/>
      <w:ind w:firstLine="480" w:firstLineChars="200"/>
    </w:pPr>
    <w:rPr>
      <w:kern w:val="0"/>
      <w:sz w:val="24"/>
    </w:rPr>
  </w:style>
  <w:style w:type="character" w:customStyle="1" w:styleId="80">
    <w:name w:val="ssss Char1"/>
    <w:link w:val="79"/>
    <w:autoRedefine/>
    <w:qFormat/>
    <w:uiPriority w:val="0"/>
    <w:rPr>
      <w:rFonts w:ascii="Times New Roman" w:hAnsi="Times New Roman" w:eastAsia="宋体" w:cs="Times New Roman"/>
      <w:sz w:val="24"/>
      <w:szCs w:val="24"/>
    </w:rPr>
  </w:style>
  <w:style w:type="character" w:customStyle="1" w:styleId="81">
    <w:name w:val="font01"/>
    <w:autoRedefine/>
    <w:qFormat/>
    <w:uiPriority w:val="0"/>
    <w:rPr>
      <w:rFonts w:hint="eastAsia" w:ascii="宋体" w:hAnsi="宋体" w:eastAsia="宋体" w:cs="宋体"/>
      <w:color w:val="FF0000"/>
      <w:sz w:val="24"/>
      <w:szCs w:val="24"/>
      <w:u w:val="none"/>
    </w:rPr>
  </w:style>
  <w:style w:type="character" w:customStyle="1" w:styleId="82">
    <w:name w:val="point_normal1"/>
    <w:autoRedefine/>
    <w:qFormat/>
    <w:uiPriority w:val="0"/>
    <w:rPr>
      <w:rFonts w:hint="default" w:ascii="Arial" w:hAnsi="Arial" w:cs="Arial"/>
      <w:sz w:val="16"/>
      <w:szCs w:val="16"/>
    </w:rPr>
  </w:style>
  <w:style w:type="character" w:customStyle="1" w:styleId="83">
    <w:name w:val="列表段落 字符1"/>
    <w:link w:val="84"/>
    <w:autoRedefine/>
    <w:qFormat/>
    <w:locked/>
    <w:uiPriority w:val="99"/>
  </w:style>
  <w:style w:type="paragraph" w:styleId="84">
    <w:name w:val="List Paragraph"/>
    <w:basedOn w:val="1"/>
    <w:link w:val="83"/>
    <w:autoRedefine/>
    <w:qFormat/>
    <w:uiPriority w:val="99"/>
    <w:pPr>
      <w:ind w:firstLine="420" w:firstLineChars="200"/>
    </w:pPr>
    <w:rPr>
      <w:kern w:val="0"/>
      <w:sz w:val="20"/>
      <w:szCs w:val="20"/>
    </w:rPr>
  </w:style>
  <w:style w:type="character" w:customStyle="1" w:styleId="85">
    <w:name w:val="文档结构图 Char1"/>
    <w:autoRedefine/>
    <w:semiHidden/>
    <w:qFormat/>
    <w:uiPriority w:val="99"/>
    <w:rPr>
      <w:rFonts w:ascii="宋体" w:hAnsi="Times New Roman" w:eastAsia="宋体" w:cs="Times New Roman"/>
      <w:sz w:val="18"/>
      <w:szCs w:val="18"/>
    </w:rPr>
  </w:style>
  <w:style w:type="character" w:customStyle="1" w:styleId="86">
    <w:name w:val="普通正文 Char"/>
    <w:link w:val="87"/>
    <w:autoRedefine/>
    <w:qFormat/>
    <w:uiPriority w:val="0"/>
    <w:rPr>
      <w:rFonts w:ascii="Arial" w:hAnsi="Arial"/>
      <w:sz w:val="24"/>
      <w:szCs w:val="24"/>
    </w:rPr>
  </w:style>
  <w:style w:type="paragraph" w:customStyle="1" w:styleId="87">
    <w:name w:val="普通正文"/>
    <w:basedOn w:val="1"/>
    <w:link w:val="86"/>
    <w:autoRedefine/>
    <w:qFormat/>
    <w:uiPriority w:val="0"/>
    <w:pPr>
      <w:adjustRightInd w:val="0"/>
      <w:spacing w:before="120" w:after="120" w:line="360" w:lineRule="auto"/>
      <w:ind w:left="-2" w:right="120" w:firstLine="480"/>
      <w:jc w:val="center"/>
      <w:textAlignment w:val="baseline"/>
    </w:pPr>
    <w:rPr>
      <w:rFonts w:ascii="Arial" w:hAnsi="Arial"/>
      <w:kern w:val="0"/>
      <w:sz w:val="24"/>
    </w:rPr>
  </w:style>
  <w:style w:type="character" w:customStyle="1" w:styleId="88">
    <w:name w:val="FA正文 Char"/>
    <w:link w:val="89"/>
    <w:autoRedefine/>
    <w:qFormat/>
    <w:uiPriority w:val="0"/>
    <w:rPr>
      <w:rFonts w:ascii="宋体" w:hAnsi="宋体" w:eastAsia="宋体" w:cs="Times New Roman"/>
      <w:sz w:val="28"/>
      <w:szCs w:val="28"/>
    </w:rPr>
  </w:style>
  <w:style w:type="paragraph" w:customStyle="1" w:styleId="89">
    <w:name w:val="FA正文"/>
    <w:basedOn w:val="1"/>
    <w:link w:val="88"/>
    <w:autoRedefine/>
    <w:qFormat/>
    <w:uiPriority w:val="0"/>
    <w:pPr>
      <w:tabs>
        <w:tab w:val="left" w:pos="3375"/>
      </w:tabs>
      <w:spacing w:line="440" w:lineRule="atLeast"/>
      <w:ind w:firstLine="538" w:firstLineChars="192"/>
    </w:pPr>
    <w:rPr>
      <w:rFonts w:ascii="宋体" w:hAnsi="宋体"/>
      <w:kern w:val="0"/>
      <w:sz w:val="28"/>
      <w:szCs w:val="28"/>
    </w:rPr>
  </w:style>
  <w:style w:type="character" w:customStyle="1" w:styleId="90">
    <w:name w:val="正文缩进2格 Char"/>
    <w:link w:val="91"/>
    <w:autoRedefine/>
    <w:qFormat/>
    <w:uiPriority w:val="0"/>
    <w:rPr>
      <w:rFonts w:ascii="仿宋_GB2312" w:hAnsi="宋体" w:eastAsia="仿宋_GB2312" w:cs="Times New Roman"/>
      <w:sz w:val="31"/>
      <w:szCs w:val="28"/>
    </w:rPr>
  </w:style>
  <w:style w:type="paragraph" w:customStyle="1" w:styleId="91">
    <w:name w:val="正文缩进2格"/>
    <w:basedOn w:val="1"/>
    <w:link w:val="90"/>
    <w:autoRedefine/>
    <w:qFormat/>
    <w:uiPriority w:val="0"/>
    <w:pPr>
      <w:spacing w:line="600" w:lineRule="exact"/>
      <w:ind w:firstLine="639" w:firstLineChars="206"/>
    </w:pPr>
    <w:rPr>
      <w:rFonts w:ascii="仿宋_GB2312" w:hAnsi="宋体" w:eastAsia="仿宋_GB2312"/>
      <w:kern w:val="0"/>
      <w:sz w:val="31"/>
      <w:szCs w:val="28"/>
    </w:rPr>
  </w:style>
  <w:style w:type="character" w:customStyle="1" w:styleId="92">
    <w:name w:val="cn_text1"/>
    <w:autoRedefine/>
    <w:qFormat/>
    <w:uiPriority w:val="0"/>
    <w:rPr>
      <w:rFonts w:hint="default" w:ascii="Times New Roman" w:hAnsi="Times New Roman"/>
      <w:color w:val="003399"/>
      <w:spacing w:val="15"/>
      <w:sz w:val="18"/>
      <w:szCs w:val="18"/>
    </w:rPr>
  </w:style>
  <w:style w:type="character" w:customStyle="1" w:styleId="93">
    <w:name w:val="ssss Char"/>
    <w:autoRedefine/>
    <w:qFormat/>
    <w:uiPriority w:val="0"/>
    <w:rPr>
      <w:rFonts w:eastAsia="宋体"/>
      <w:kern w:val="2"/>
      <w:sz w:val="24"/>
      <w:szCs w:val="24"/>
      <w:lang w:val="en-US" w:eastAsia="zh-CN" w:bidi="ar-SA"/>
    </w:rPr>
  </w:style>
  <w:style w:type="character" w:customStyle="1" w:styleId="94">
    <w:name w:val="标题 4 Char1"/>
    <w:autoRedefine/>
    <w:qFormat/>
    <w:uiPriority w:val="0"/>
    <w:rPr>
      <w:rFonts w:ascii="Arial" w:hAnsi="Arial" w:eastAsia="黑体"/>
      <w:b/>
      <w:bCs/>
      <w:kern w:val="2"/>
      <w:sz w:val="28"/>
      <w:szCs w:val="28"/>
      <w:lang w:val="en-US" w:eastAsia="zh-CN" w:bidi="ar-SA"/>
    </w:rPr>
  </w:style>
  <w:style w:type="character" w:customStyle="1" w:styleId="95">
    <w:name w:val="列表段落 字符"/>
    <w:autoRedefine/>
    <w:qFormat/>
    <w:uiPriority w:val="34"/>
    <w:rPr>
      <w:rFonts w:ascii="Calibri" w:hAnsi="Calibri"/>
      <w:kern w:val="2"/>
      <w:sz w:val="21"/>
      <w:szCs w:val="22"/>
    </w:rPr>
  </w:style>
  <w:style w:type="character" w:customStyle="1" w:styleId="96">
    <w:name w:val="批注框文本 Char1"/>
    <w:autoRedefine/>
    <w:semiHidden/>
    <w:qFormat/>
    <w:uiPriority w:val="99"/>
    <w:rPr>
      <w:rFonts w:ascii="Times New Roman" w:hAnsi="Times New Roman" w:eastAsia="宋体" w:cs="Times New Roman"/>
      <w:sz w:val="18"/>
      <w:szCs w:val="18"/>
    </w:rPr>
  </w:style>
  <w:style w:type="paragraph" w:customStyle="1" w:styleId="97">
    <w:name w:val="样式 正文文本缩进 3 + 四号"/>
    <w:basedOn w:val="30"/>
    <w:autoRedefine/>
    <w:qFormat/>
    <w:uiPriority w:val="0"/>
    <w:pPr>
      <w:spacing w:after="0" w:line="360" w:lineRule="auto"/>
      <w:ind w:left="0" w:leftChars="0" w:firstLine="437"/>
    </w:pPr>
    <w:rPr>
      <w:sz w:val="24"/>
      <w:szCs w:val="21"/>
    </w:rPr>
  </w:style>
  <w:style w:type="paragraph" w:customStyle="1" w:styleId="98">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方正小标宋_GBK" w:eastAsia="方正小标宋_GBK"/>
      <w:snapToGrid w:val="0"/>
      <w:kern w:val="0"/>
      <w:sz w:val="44"/>
      <w:szCs w:val="20"/>
    </w:rPr>
  </w:style>
  <w:style w:type="paragraph" w:customStyle="1" w:styleId="99">
    <w:name w:val="正文缩进1"/>
    <w:basedOn w:val="1"/>
    <w:autoRedefine/>
    <w:qFormat/>
    <w:uiPriority w:val="0"/>
    <w:pPr>
      <w:widowControl/>
      <w:ind w:firstLine="420"/>
      <w:jc w:val="left"/>
    </w:pPr>
    <w:rPr>
      <w:kern w:val="0"/>
    </w:rPr>
  </w:style>
  <w:style w:type="paragraph" w:customStyle="1" w:styleId="100">
    <w:name w:val="样式 宋体 四号 黑色 左侧:  0.74 厘米 首行缩进:  0.74 厘米 行距: 1.5 倍行距"/>
    <w:basedOn w:val="1"/>
    <w:autoRedefine/>
    <w:qFormat/>
    <w:uiPriority w:val="0"/>
    <w:pPr>
      <w:spacing w:line="360" w:lineRule="auto"/>
      <w:ind w:firstLine="420"/>
    </w:pPr>
    <w:rPr>
      <w:rFonts w:ascii="宋体"/>
      <w:color w:val="000000"/>
      <w:sz w:val="24"/>
      <w:szCs w:val="21"/>
    </w:rPr>
  </w:style>
  <w:style w:type="paragraph" w:customStyle="1" w:styleId="101">
    <w:name w:val="无间隔1"/>
    <w:autoRedefine/>
    <w:qFormat/>
    <w:uiPriority w:val="0"/>
    <w:rPr>
      <w:rFonts w:ascii="Times New Roman" w:hAnsi="Times New Roman" w:eastAsia="宋体" w:cs="Calibri"/>
      <w:sz w:val="22"/>
      <w:lang w:val="en-US" w:eastAsia="zh-CN" w:bidi="ar-SA"/>
    </w:rPr>
  </w:style>
  <w:style w:type="paragraph" w:customStyle="1" w:styleId="102">
    <w:name w:val="样式 样式 ssss + 宋体 五号 + 首行缩进:  2 字符"/>
    <w:basedOn w:val="103"/>
    <w:autoRedefine/>
    <w:qFormat/>
    <w:uiPriority w:val="0"/>
    <w:pPr>
      <w:ind w:firstLine="480"/>
    </w:pPr>
  </w:style>
  <w:style w:type="paragraph" w:customStyle="1" w:styleId="103">
    <w:name w:val="样式 ssss + 宋体 五号"/>
    <w:basedOn w:val="79"/>
    <w:autoRedefine/>
    <w:qFormat/>
    <w:uiPriority w:val="0"/>
    <w:pPr>
      <w:ind w:firstLine="420"/>
    </w:pPr>
    <w:rPr>
      <w:rFonts w:ascii="宋体" w:hAnsi="宋体" w:cs="宋体"/>
      <w:szCs w:val="20"/>
    </w:rPr>
  </w:style>
  <w:style w:type="paragraph" w:customStyle="1" w:styleId="104">
    <w:name w:val="Char Char Char Char"/>
    <w:basedOn w:val="1"/>
    <w:autoRedefine/>
    <w:qFormat/>
    <w:uiPriority w:val="0"/>
    <w:rPr>
      <w:rFonts w:ascii="Tahoma" w:hAnsi="Tahoma"/>
      <w:sz w:val="24"/>
      <w:szCs w:val="20"/>
    </w:rPr>
  </w:style>
  <w:style w:type="paragraph" w:customStyle="1" w:styleId="105">
    <w:name w:val="2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06">
    <w:name w:val="ec_msonormal"/>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107">
    <w:name w:val="标题-----3"/>
    <w:basedOn w:val="4"/>
    <w:autoRedefine/>
    <w:qFormat/>
    <w:uiPriority w:val="0"/>
    <w:pPr>
      <w:spacing w:before="0" w:after="0" w:line="240" w:lineRule="auto"/>
      <w:outlineLvl w:val="0"/>
    </w:pPr>
    <w:rPr>
      <w:rFonts w:ascii="宋体" w:hAnsi="宋体"/>
      <w:b w:val="0"/>
      <w:bCs w:val="0"/>
      <w:sz w:val="28"/>
      <w:szCs w:val="28"/>
    </w:rPr>
  </w:style>
  <w:style w:type="paragraph" w:customStyle="1" w:styleId="108">
    <w:name w:val="Char Char Char Char Char Char Char Char Char Char Char Char Char"/>
    <w:basedOn w:val="1"/>
    <w:autoRedefine/>
    <w:qFormat/>
    <w:uiPriority w:val="0"/>
  </w:style>
  <w:style w:type="paragraph" w:customStyle="1" w:styleId="109">
    <w:name w:val="表格正文"/>
    <w:basedOn w:val="1"/>
    <w:autoRedefine/>
    <w:qFormat/>
    <w:uiPriority w:val="0"/>
    <w:pPr>
      <w:spacing w:line="360" w:lineRule="auto"/>
      <w:jc w:val="left"/>
    </w:pPr>
    <w:rPr>
      <w:rFonts w:ascii="Calibri" w:hAnsi="Calibri"/>
      <w:color w:val="000000"/>
      <w:szCs w:val="28"/>
    </w:rPr>
  </w:style>
  <w:style w:type="paragraph" w:customStyle="1" w:styleId="110">
    <w:name w:val="Char Char Char Char1"/>
    <w:basedOn w:val="1"/>
    <w:autoRedefine/>
    <w:qFormat/>
    <w:uiPriority w:val="0"/>
    <w:rPr>
      <w:rFonts w:ascii="Tahoma" w:hAnsi="Tahoma"/>
      <w:sz w:val="24"/>
      <w:szCs w:val="20"/>
    </w:rPr>
  </w:style>
  <w:style w:type="paragraph" w:customStyle="1" w:styleId="111">
    <w:name w:val="Char Char Char"/>
    <w:basedOn w:val="1"/>
    <w:autoRedefine/>
    <w:qFormat/>
    <w:uiPriority w:val="0"/>
    <w:rPr>
      <w:rFonts w:ascii="Tahoma" w:hAnsi="Tahoma"/>
      <w:sz w:val="24"/>
      <w:szCs w:val="20"/>
    </w:rPr>
  </w:style>
  <w:style w:type="paragraph" w:customStyle="1" w:styleId="112">
    <w:name w:val="样式 ssss + 居中"/>
    <w:basedOn w:val="79"/>
    <w:autoRedefine/>
    <w:qFormat/>
    <w:uiPriority w:val="0"/>
    <w:pPr>
      <w:jc w:val="center"/>
    </w:pPr>
    <w:rPr>
      <w:rFonts w:cs="宋体"/>
      <w:szCs w:val="20"/>
    </w:rPr>
  </w:style>
  <w:style w:type="paragraph" w:customStyle="1" w:styleId="113">
    <w:name w:val="msonormalcxsplas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4">
    <w:name w:val="Char"/>
    <w:basedOn w:val="1"/>
    <w:autoRedefine/>
    <w:qFormat/>
    <w:uiPriority w:val="0"/>
    <w:rPr>
      <w:rFonts w:ascii="Tahoma" w:hAnsi="Tahoma"/>
      <w:sz w:val="24"/>
      <w:szCs w:val="20"/>
    </w:rPr>
  </w:style>
  <w:style w:type="paragraph" w:customStyle="1" w:styleId="115">
    <w:name w:val="xl25"/>
    <w:basedOn w:val="1"/>
    <w:autoRedefine/>
    <w:qFormat/>
    <w:uiPriority w:val="0"/>
    <w:pPr>
      <w:widowControl/>
      <w:pBdr>
        <w:bottom w:val="single" w:color="auto" w:sz="4" w:space="0"/>
        <w:right w:val="single" w:color="auto" w:sz="4" w:space="0"/>
      </w:pBdr>
      <w:spacing w:before="100" w:beforeAutospacing="1" w:after="100" w:afterAutospacing="1"/>
    </w:pPr>
    <w:rPr>
      <w:rFonts w:hint="eastAsia" w:ascii="华文细黑" w:hAnsi="华文细黑" w:eastAsia="华文细黑"/>
      <w:kern w:val="0"/>
      <w:sz w:val="18"/>
      <w:szCs w:val="18"/>
    </w:rPr>
  </w:style>
  <w:style w:type="paragraph" w:customStyle="1" w:styleId="116">
    <w:name w:val="样式8"/>
    <w:basedOn w:val="7"/>
    <w:autoRedefine/>
    <w:qFormat/>
    <w:uiPriority w:val="0"/>
    <w:pPr>
      <w:tabs>
        <w:tab w:val="left" w:pos="1152"/>
      </w:tabs>
    </w:pPr>
  </w:style>
  <w:style w:type="paragraph" w:customStyle="1" w:styleId="117">
    <w:name w:val="标题------4"/>
    <w:basedOn w:val="5"/>
    <w:autoRedefine/>
    <w:qFormat/>
    <w:uiPriority w:val="0"/>
    <w:pPr>
      <w:keepLines/>
      <w:spacing w:line="360" w:lineRule="auto"/>
      <w:ind w:left="960" w:hanging="420"/>
      <w:jc w:val="both"/>
    </w:pPr>
    <w:rPr>
      <w:rFonts w:ascii="仿宋_GB2312" w:hAnsi="宋体" w:eastAsia="仿宋_GB2312" w:cs="仿宋_GB2312"/>
      <w:b/>
      <w:sz w:val="28"/>
      <w:szCs w:val="28"/>
      <w:lang w:val="zh-CN"/>
    </w:rPr>
  </w:style>
  <w:style w:type="paragraph" w:customStyle="1" w:styleId="118">
    <w:name w:val="Char Char 字元 字元 字元 Char Char Char Char"/>
    <w:basedOn w:val="1"/>
    <w:autoRedefine/>
    <w:qFormat/>
    <w:uiPriority w:val="0"/>
    <w:pPr>
      <w:adjustRightInd w:val="0"/>
      <w:spacing w:line="360" w:lineRule="auto"/>
    </w:pPr>
    <w:rPr>
      <w:kern w:val="0"/>
      <w:sz w:val="24"/>
      <w:szCs w:val="20"/>
    </w:rPr>
  </w:style>
  <w:style w:type="paragraph" w:customStyle="1" w:styleId="119">
    <w:name w:val="Char Char Char Char Char Char Char Char Char Char Char Char Char1"/>
    <w:basedOn w:val="1"/>
    <w:autoRedefine/>
    <w:qFormat/>
    <w:uiPriority w:val="0"/>
    <w:rPr>
      <w:sz w:val="24"/>
    </w:rPr>
  </w:style>
  <w:style w:type="paragraph" w:customStyle="1" w:styleId="120">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表格"/>
    <w:basedOn w:val="1"/>
    <w:autoRedefine/>
    <w:qFormat/>
    <w:uiPriority w:val="0"/>
    <w:rPr>
      <w:rFonts w:ascii="Arial" w:hAnsi="Arial"/>
      <w:sz w:val="24"/>
    </w:rPr>
  </w:style>
  <w:style w:type="paragraph" w:customStyle="1" w:styleId="122">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3">
    <w:name w:val="正文样式1"/>
    <w:basedOn w:val="1"/>
    <w:autoRedefine/>
    <w:qFormat/>
    <w:uiPriority w:val="0"/>
    <w:pPr>
      <w:spacing w:before="120" w:after="120" w:line="360" w:lineRule="auto"/>
      <w:ind w:firstLine="480" w:firstLineChars="200"/>
    </w:pPr>
    <w:rPr>
      <w:sz w:val="24"/>
      <w:szCs w:val="20"/>
    </w:rPr>
  </w:style>
  <w:style w:type="paragraph" w:customStyle="1" w:styleId="12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5">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26">
    <w:name w:val="Char Char Char Char Char Char Char Char Char Char"/>
    <w:basedOn w:val="1"/>
    <w:autoRedefine/>
    <w:qFormat/>
    <w:uiPriority w:val="0"/>
    <w:rPr>
      <w:rFonts w:ascii="Tahoma" w:hAnsi="Tahoma"/>
      <w:sz w:val="24"/>
      <w:szCs w:val="20"/>
    </w:rPr>
  </w:style>
  <w:style w:type="paragraph" w:customStyle="1" w:styleId="127">
    <w:name w:val="Char1"/>
    <w:basedOn w:val="1"/>
    <w:autoRedefine/>
    <w:qFormat/>
    <w:uiPriority w:val="0"/>
    <w:pPr>
      <w:tabs>
        <w:tab w:val="left" w:pos="360"/>
      </w:tabs>
    </w:pPr>
    <w:rPr>
      <w:sz w:val="24"/>
    </w:rPr>
  </w:style>
  <w:style w:type="paragraph" w:customStyle="1" w:styleId="128">
    <w:name w:val="Header2"/>
    <w:basedOn w:val="1"/>
    <w:autoRedefine/>
    <w:qFormat/>
    <w:uiPriority w:val="0"/>
    <w:pPr>
      <w:numPr>
        <w:ilvl w:val="0"/>
        <w:numId w:val="1"/>
      </w:numPr>
    </w:pPr>
  </w:style>
  <w:style w:type="paragraph" w:customStyle="1" w:styleId="129">
    <w:name w:val="普通(网站) Cha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130">
    <w:name w:val="2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31">
    <w:name w:val="DAS正文"/>
    <w:basedOn w:val="1"/>
    <w:autoRedefine/>
    <w:qFormat/>
    <w:uiPriority w:val="0"/>
    <w:pPr>
      <w:spacing w:line="360" w:lineRule="auto"/>
      <w:ind w:right="181" w:firstLine="480" w:firstLineChars="200"/>
    </w:pPr>
    <w:rPr>
      <w:rFonts w:ascii="Verdana" w:hAnsi="Verdana"/>
      <w:sz w:val="24"/>
      <w:szCs w:val="20"/>
    </w:rPr>
  </w:style>
  <w:style w:type="table" w:customStyle="1" w:styleId="132">
    <w:name w:val="网格型1"/>
    <w:basedOn w:val="36"/>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3">
    <w:name w:val="font51"/>
    <w:autoRedefine/>
    <w:qFormat/>
    <w:uiPriority w:val="0"/>
    <w:rPr>
      <w:rFonts w:hint="default" w:ascii="Times New Roman" w:hAnsi="Times New Roman" w:cs="Times New Roman"/>
      <w:color w:val="000000"/>
      <w:sz w:val="20"/>
      <w:szCs w:val="20"/>
      <w:u w:val="none"/>
    </w:rPr>
  </w:style>
  <w:style w:type="character" w:customStyle="1" w:styleId="134">
    <w:name w:val="font61"/>
    <w:autoRedefine/>
    <w:qFormat/>
    <w:uiPriority w:val="0"/>
    <w:rPr>
      <w:rFonts w:hint="default" w:ascii="Times New Roman" w:hAnsi="Times New Roman" w:cs="Times New Roman"/>
      <w:color w:val="000000"/>
      <w:sz w:val="21"/>
      <w:szCs w:val="21"/>
      <w:u w:val="none"/>
    </w:rPr>
  </w:style>
  <w:style w:type="character" w:customStyle="1" w:styleId="135">
    <w:name w:val="font71"/>
    <w:autoRedefine/>
    <w:qFormat/>
    <w:uiPriority w:val="0"/>
    <w:rPr>
      <w:rFonts w:hint="eastAsia" w:ascii="宋体" w:hAnsi="宋体" w:eastAsia="宋体" w:cs="宋体"/>
      <w:color w:val="000000"/>
      <w:sz w:val="22"/>
      <w:szCs w:val="22"/>
      <w:u w:val="none"/>
    </w:rPr>
  </w:style>
  <w:style w:type="paragraph" w:customStyle="1" w:styleId="136">
    <w:name w:val="表格CXH"/>
    <w:basedOn w:val="1"/>
    <w:autoRedefine/>
    <w:qFormat/>
    <w:uiPriority w:val="0"/>
    <w:pPr>
      <w:spacing w:line="276" w:lineRule="auto"/>
    </w:pPr>
    <w:rPr>
      <w:rFonts w:ascii="等线" w:hAnsi="等线"/>
    </w:rPr>
  </w:style>
  <w:style w:type="paragraph" w:customStyle="1" w:styleId="137">
    <w:name w:val="段"/>
    <w:next w:val="138"/>
    <w:autoRedefine/>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138">
    <w:name w:val="正文 A"/>
    <w:next w:val="137"/>
    <w:autoRedefine/>
    <w:qFormat/>
    <w:uiPriority w:val="0"/>
    <w:pPr>
      <w:widowControl w:val="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139">
    <w:name w:val="cf01"/>
    <w:autoRedefine/>
    <w:qFormat/>
    <w:uiPriority w:val="0"/>
    <w:rPr>
      <w:rFonts w:hint="eastAsia" w:ascii="Microsoft YaHei UI" w:hAnsi="Microsoft YaHei UI" w:eastAsia="Microsoft YaHei UI"/>
      <w:sz w:val="18"/>
      <w:szCs w:val="18"/>
    </w:rPr>
  </w:style>
  <w:style w:type="paragraph" w:customStyle="1" w:styleId="140">
    <w:name w:val="Table Text"/>
    <w:basedOn w:val="1"/>
    <w:autoRedefine/>
    <w:semiHidden/>
    <w:qFormat/>
    <w:uiPriority w:val="0"/>
    <w:pPr>
      <w:widowControl/>
      <w:jc w:val="left"/>
    </w:pPr>
    <w:rPr>
      <w:rFonts w:eastAsia="Times New Roman"/>
      <w:color w:val="000000"/>
      <w:sz w:val="19"/>
      <w:szCs w:val="19"/>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25871</Words>
  <Characters>27146</Characters>
  <Lines>162</Lines>
  <Paragraphs>45</Paragraphs>
  <TotalTime>38</TotalTime>
  <ScaleCrop>false</ScaleCrop>
  <LinksUpToDate>false</LinksUpToDate>
  <CharactersWithSpaces>28150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2024-01-19T16:19:00Z</dcterms:created>
  <dc:creator>User</dc:creator>
  <cp:lastModifiedBy>杀手不太冷</cp:lastModifiedBy>
  <cp:lastPrinted>2023-07-28T22:59:00Z</cp:lastPrinted>
  <dcterms:modified xsi:type="dcterms:W3CDTF">2024-08-15T06:13:18Z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FEC1165984E84F15A6031001EC07584B_13</vt:lpwstr>
  </property>
  <property fmtid="{D5CDD505-2E9C-101B-9397-08002B2CF9AE}" pid="4" name="ClassificationContentMarkingHeaderShapeIds">
    <vt:lpwstr>3,4,5</vt:lpwstr>
  </property>
  <property fmtid="{D5CDD505-2E9C-101B-9397-08002B2CF9AE}" pid="5" name="ClassificationContentMarkingHeaderFontProps">
    <vt:lpwstr>#000000,8,arial</vt:lpwstr>
  </property>
  <property fmtid="{D5CDD505-2E9C-101B-9397-08002B2CF9AE}" pid="6" name="ClassificationContentMarkingHeaderText">
    <vt:lpwstr>KONE Internal</vt:lpwstr>
  </property>
</Properties>
</file>