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shd w:val="clear" w:color="auto" w:fill="FFFFFF"/>
        <w:tblCellMar>
          <w:left w:w="0" w:type="dxa"/>
          <w:right w:w="0" w:type="dxa"/>
        </w:tblCellMar>
        <w:tblLook w:val="04A0"/>
      </w:tblPr>
      <w:tblGrid>
        <w:gridCol w:w="9482"/>
      </w:tblGrid>
      <w:tr w:rsidR="00812F92" w:rsidRPr="00812F92" w:rsidTr="00812F92">
        <w:trPr>
          <w:tblCellSpacing w:w="0" w:type="dxa"/>
          <w:jc w:val="center"/>
        </w:trPr>
        <w:tc>
          <w:tcPr>
            <w:tcW w:w="0" w:type="auto"/>
            <w:shd w:val="clear" w:color="auto" w:fill="FFFFFF"/>
            <w:tcMar>
              <w:top w:w="225" w:type="dxa"/>
              <w:left w:w="225" w:type="dxa"/>
              <w:bottom w:w="225" w:type="dxa"/>
              <w:right w:w="225" w:type="dxa"/>
            </w:tcMar>
            <w:vAlign w:val="center"/>
            <w:hideMark/>
          </w:tcPr>
          <w:p w:rsidR="00812F92" w:rsidRPr="00812F92" w:rsidRDefault="00812F92" w:rsidP="00812F92">
            <w:pPr>
              <w:widowControl/>
              <w:spacing w:line="540" w:lineRule="atLeast"/>
              <w:jc w:val="center"/>
              <w:rPr>
                <w:rFonts w:ascii="宋体" w:eastAsia="宋体" w:hAnsi="宋体" w:cs="宋体"/>
                <w:b/>
                <w:bCs/>
                <w:color w:val="3D3D3D"/>
                <w:kern w:val="0"/>
                <w:sz w:val="36"/>
                <w:szCs w:val="36"/>
              </w:rPr>
            </w:pPr>
            <w:r w:rsidRPr="00812F92">
              <w:rPr>
                <w:rFonts w:ascii="宋体" w:eastAsia="宋体" w:hAnsi="宋体" w:cs="宋体" w:hint="eastAsia"/>
                <w:b/>
                <w:bCs/>
                <w:color w:val="3D3D3D"/>
                <w:kern w:val="0"/>
                <w:sz w:val="36"/>
                <w:szCs w:val="36"/>
              </w:rPr>
              <w:t>江苏省财政厅关于实施省级预算单位公务卡强制结算目录的通知</w:t>
            </w:r>
          </w:p>
        </w:tc>
      </w:tr>
    </w:tbl>
    <w:p w:rsidR="00812F92" w:rsidRPr="00812F92" w:rsidRDefault="00812F92" w:rsidP="00812F92">
      <w:pPr>
        <w:widowControl/>
        <w:jc w:val="left"/>
        <w:rPr>
          <w:rFonts w:ascii="宋体" w:eastAsia="宋体" w:hAnsi="宋体" w:cs="宋体"/>
          <w:vanish/>
          <w:kern w:val="0"/>
          <w:sz w:val="24"/>
          <w:szCs w:val="24"/>
        </w:rPr>
      </w:pPr>
    </w:p>
    <w:p w:rsidR="00812F92" w:rsidRPr="00812F92" w:rsidRDefault="00812F92" w:rsidP="00812F92">
      <w:pPr>
        <w:widowControl/>
        <w:jc w:val="left"/>
        <w:rPr>
          <w:rFonts w:ascii="宋体" w:eastAsia="宋体" w:hAnsi="宋体" w:cs="宋体"/>
          <w:vanish/>
          <w:kern w:val="0"/>
          <w:sz w:val="24"/>
          <w:szCs w:val="24"/>
        </w:rPr>
      </w:pPr>
    </w:p>
    <w:p w:rsidR="00812F92" w:rsidRPr="00812F92" w:rsidRDefault="00812F92" w:rsidP="00812F92">
      <w:pPr>
        <w:widowControl/>
        <w:jc w:val="left"/>
        <w:rPr>
          <w:rFonts w:ascii="宋体" w:eastAsia="宋体" w:hAnsi="宋体" w:cs="宋体"/>
          <w:vanish/>
          <w:kern w:val="0"/>
          <w:sz w:val="24"/>
          <w:szCs w:val="24"/>
        </w:rPr>
      </w:pPr>
    </w:p>
    <w:tbl>
      <w:tblPr>
        <w:tblW w:w="4500" w:type="pct"/>
        <w:jc w:val="center"/>
        <w:tblCellSpacing w:w="0" w:type="dxa"/>
        <w:shd w:val="clear" w:color="auto" w:fill="FFFFFF"/>
        <w:tblCellMar>
          <w:left w:w="0" w:type="dxa"/>
          <w:right w:w="0" w:type="dxa"/>
        </w:tblCellMar>
        <w:tblLook w:val="04A0"/>
      </w:tblPr>
      <w:tblGrid>
        <w:gridCol w:w="9040"/>
      </w:tblGrid>
      <w:tr w:rsidR="00812F92" w:rsidRPr="00812F92" w:rsidTr="00812F92">
        <w:trPr>
          <w:tblCellSpacing w:w="0" w:type="dxa"/>
          <w:jc w:val="center"/>
        </w:trPr>
        <w:tc>
          <w:tcPr>
            <w:tcW w:w="0" w:type="auto"/>
            <w:shd w:val="clear" w:color="auto" w:fill="FFFFFF"/>
            <w:vAlign w:val="center"/>
            <w:hideMark/>
          </w:tcPr>
          <w:p w:rsidR="00812F92" w:rsidRPr="00812F92" w:rsidRDefault="00812F92" w:rsidP="00812F92">
            <w:pPr>
              <w:widowControl/>
              <w:spacing w:before="100" w:beforeAutospacing="1" w:after="100" w:afterAutospacing="1" w:line="528" w:lineRule="atLeast"/>
              <w:jc w:val="center"/>
              <w:rPr>
                <w:rFonts w:ascii="宋体" w:eastAsia="宋体" w:hAnsi="宋体" w:cs="宋体"/>
                <w:color w:val="000000"/>
                <w:kern w:val="0"/>
                <w:sz w:val="24"/>
                <w:szCs w:val="24"/>
              </w:rPr>
            </w:pPr>
            <w:r w:rsidRPr="00812F92">
              <w:rPr>
                <w:rFonts w:ascii="宋体" w:eastAsia="宋体" w:hAnsi="宋体" w:cs="宋体" w:hint="eastAsia"/>
                <w:color w:val="000000"/>
                <w:kern w:val="0"/>
                <w:sz w:val="24"/>
                <w:szCs w:val="24"/>
              </w:rPr>
              <w:t xml:space="preserve">　　</w:t>
            </w:r>
            <w:r w:rsidRPr="00812F92">
              <w:rPr>
                <w:rFonts w:ascii="宋体" w:eastAsia="宋体" w:hAnsi="宋体" w:cs="宋体" w:hint="eastAsia"/>
                <w:color w:val="3D3D3D"/>
                <w:kern w:val="0"/>
                <w:sz w:val="24"/>
                <w:szCs w:val="24"/>
              </w:rPr>
              <w:t>苏财库[2016]13号</w:t>
            </w:r>
          </w:p>
          <w:p w:rsidR="00812F92" w:rsidRPr="00812F92" w:rsidRDefault="00812F92" w:rsidP="00812F92">
            <w:pPr>
              <w:widowControl/>
              <w:spacing w:before="100" w:beforeAutospacing="1" w:after="100" w:afterAutospacing="1" w:line="528" w:lineRule="atLeast"/>
              <w:jc w:val="left"/>
              <w:rPr>
                <w:rFonts w:ascii="宋体" w:eastAsia="宋体" w:hAnsi="宋体" w:cs="宋体"/>
                <w:color w:val="000000"/>
                <w:kern w:val="0"/>
                <w:sz w:val="24"/>
                <w:szCs w:val="24"/>
              </w:rPr>
            </w:pPr>
            <w:r w:rsidRPr="00812F92">
              <w:rPr>
                <w:rFonts w:ascii="宋体" w:eastAsia="宋体" w:hAnsi="宋体" w:cs="宋体" w:hint="eastAsia"/>
                <w:color w:val="3D3D3D"/>
                <w:kern w:val="0"/>
                <w:sz w:val="24"/>
                <w:szCs w:val="24"/>
              </w:rPr>
              <w:t>省各部、委、办、厅、局，省各直属单位：</w:t>
            </w:r>
            <w:r w:rsidRPr="00812F92">
              <w:rPr>
                <w:rFonts w:ascii="宋体" w:eastAsia="宋体" w:hAnsi="宋体" w:cs="宋体" w:hint="eastAsia"/>
                <w:color w:val="3D3D3D"/>
                <w:kern w:val="0"/>
                <w:sz w:val="24"/>
                <w:szCs w:val="24"/>
              </w:rPr>
              <w:br/>
              <w:t xml:space="preserve">　　为加强和规范省级预算单位公务支出管理，进一步推进公务卡制度改革，切实减少公务支出中的现金提取和使用，根据《江苏省财政厅 中国人民银行南京分行关于进一步深化省级预算单位公务卡制度改革的意见》（苏财库〔2016〕11号）精神，参照中央财政做法，决定自2016年4月1日起在省级预算单位实施公务卡强制结算目录。现就有关事项通知如下：</w:t>
            </w:r>
            <w:r w:rsidRPr="00812F92">
              <w:rPr>
                <w:rFonts w:ascii="宋体" w:eastAsia="宋体" w:hAnsi="宋体" w:cs="宋体" w:hint="eastAsia"/>
                <w:color w:val="3D3D3D"/>
                <w:kern w:val="0"/>
                <w:sz w:val="24"/>
                <w:szCs w:val="24"/>
              </w:rPr>
              <w:br/>
              <w:t xml:space="preserve">　　一、充分认识实施公务卡强制结算目录的必要性</w:t>
            </w:r>
            <w:r w:rsidRPr="00812F92">
              <w:rPr>
                <w:rFonts w:ascii="宋体" w:eastAsia="宋体" w:hAnsi="宋体" w:cs="宋体" w:hint="eastAsia"/>
                <w:color w:val="3D3D3D"/>
                <w:kern w:val="0"/>
                <w:sz w:val="24"/>
                <w:szCs w:val="24"/>
              </w:rPr>
              <w:br/>
              <w:t xml:space="preserve">　　省级预算单位自2007年推行公务卡制度改革以来，公务支出透明度日益提高，但仍存在一些大额提取和使用现金等问题。建立公务卡强制结算目录，严格规定预算单位公务支出中必须使用公务卡结算的项目，有利于提高公务卡使用率，减少现金支付结算，进一步加强和规范公务支出管理。省级预算单位要按照《党政机关厉行节约反对浪费条例》等规定，从推进厉行节约反对浪费和加强党风廉政建设的高度切实提高对实施公务卡强制结算目录必要性和重要性的认识，认真抓好落实工作。</w:t>
            </w:r>
            <w:r w:rsidRPr="00812F92">
              <w:rPr>
                <w:rFonts w:ascii="宋体" w:eastAsia="宋体" w:hAnsi="宋体" w:cs="宋体" w:hint="eastAsia"/>
                <w:color w:val="3D3D3D"/>
                <w:kern w:val="0"/>
                <w:sz w:val="24"/>
                <w:szCs w:val="24"/>
              </w:rPr>
              <w:br/>
              <w:t xml:space="preserve">　　二、严格执行公务卡强制结算目录</w:t>
            </w:r>
            <w:r w:rsidRPr="00812F92">
              <w:rPr>
                <w:rFonts w:ascii="宋体" w:eastAsia="宋体" w:hAnsi="宋体" w:cs="宋体" w:hint="eastAsia"/>
                <w:color w:val="3D3D3D"/>
                <w:kern w:val="0"/>
                <w:sz w:val="24"/>
                <w:szCs w:val="24"/>
              </w:rPr>
              <w:br/>
              <w:t xml:space="preserve">　　（一）纳入公务卡强制结算目录（详见附件）的支付事项，凡能通过财政直接支付或者授权支付转账办理的，应当实行财政直接支付或者授权支付转账办理；不具备转账条件的，应当使用公务卡（含个人公务卡和单位公务卡）结算，原则上不得使用现金结算。</w:t>
            </w:r>
            <w:r w:rsidRPr="00812F92">
              <w:rPr>
                <w:rFonts w:ascii="宋体" w:eastAsia="宋体" w:hAnsi="宋体" w:cs="宋体" w:hint="eastAsia"/>
                <w:color w:val="3D3D3D"/>
                <w:kern w:val="0"/>
                <w:sz w:val="24"/>
                <w:szCs w:val="24"/>
              </w:rPr>
              <w:br/>
              <w:t xml:space="preserve">　　（二）下列情况可暂不使用公务卡结算：</w:t>
            </w:r>
            <w:r w:rsidRPr="00812F92">
              <w:rPr>
                <w:rFonts w:ascii="宋体" w:eastAsia="宋体" w:hAnsi="宋体" w:cs="宋体" w:hint="eastAsia"/>
                <w:color w:val="3D3D3D"/>
                <w:kern w:val="0"/>
                <w:sz w:val="24"/>
                <w:szCs w:val="24"/>
              </w:rPr>
              <w:br/>
              <w:t xml:space="preserve">　　1．在县级以下（不包括县级）且不具备刷卡条件的地区发生的公务支出；</w:t>
            </w:r>
            <w:r w:rsidRPr="00812F92">
              <w:rPr>
                <w:rFonts w:ascii="宋体" w:eastAsia="宋体" w:hAnsi="宋体" w:cs="宋体" w:hint="eastAsia"/>
                <w:color w:val="3D3D3D"/>
                <w:kern w:val="0"/>
                <w:sz w:val="24"/>
                <w:szCs w:val="24"/>
              </w:rPr>
              <w:br/>
              <w:t xml:space="preserve">　　2．在县级及县级以上地区不具备刷卡条件的场所发生的单笔消费在200元以下的</w:t>
            </w:r>
            <w:r w:rsidRPr="00812F92">
              <w:rPr>
                <w:rFonts w:ascii="宋体" w:eastAsia="宋体" w:hAnsi="宋体" w:cs="宋体" w:hint="eastAsia"/>
                <w:color w:val="3D3D3D"/>
                <w:kern w:val="0"/>
                <w:sz w:val="24"/>
                <w:szCs w:val="24"/>
              </w:rPr>
              <w:lastRenderedPageBreak/>
              <w:t>公务支出；</w:t>
            </w:r>
            <w:r w:rsidRPr="00812F92">
              <w:rPr>
                <w:rFonts w:ascii="宋体" w:eastAsia="宋体" w:hAnsi="宋体" w:cs="宋体" w:hint="eastAsia"/>
                <w:color w:val="3D3D3D"/>
                <w:kern w:val="0"/>
                <w:sz w:val="24"/>
                <w:szCs w:val="24"/>
              </w:rPr>
              <w:br/>
              <w:t xml:space="preserve">　　3．签证费、快递费、部分过桥过路费、出租车费用等目前只能使用现金结算的支出。</w:t>
            </w:r>
            <w:r w:rsidRPr="00812F92">
              <w:rPr>
                <w:rFonts w:ascii="宋体" w:eastAsia="宋体" w:hAnsi="宋体" w:cs="宋体" w:hint="eastAsia"/>
                <w:color w:val="3D3D3D"/>
                <w:kern w:val="0"/>
                <w:sz w:val="24"/>
                <w:szCs w:val="24"/>
              </w:rPr>
              <w:br/>
              <w:t xml:space="preserve">　　（三）我厅将根据公务卡运行实际情况，适时调整公务卡强制结算范围。</w:t>
            </w:r>
            <w:r w:rsidRPr="00812F92">
              <w:rPr>
                <w:rFonts w:ascii="宋体" w:eastAsia="宋体" w:hAnsi="宋体" w:cs="宋体" w:hint="eastAsia"/>
                <w:color w:val="3D3D3D"/>
                <w:kern w:val="0"/>
                <w:sz w:val="24"/>
                <w:szCs w:val="24"/>
              </w:rPr>
              <w:br/>
              <w:t xml:space="preserve">　　三、有关工作要求</w:t>
            </w:r>
            <w:r w:rsidRPr="00812F92">
              <w:rPr>
                <w:rFonts w:ascii="宋体" w:eastAsia="宋体" w:hAnsi="宋体" w:cs="宋体" w:hint="eastAsia"/>
                <w:color w:val="3D3D3D"/>
                <w:kern w:val="0"/>
                <w:sz w:val="24"/>
                <w:szCs w:val="24"/>
              </w:rPr>
              <w:br/>
              <w:t xml:space="preserve">　　（一）制定具体办法。各主管部门（单位）应结合内部财务管理制度规定，尽快制定本部门所属单位实施公务卡强制结算目录的管理办法，重点明确不能使用公务卡结算情况下的财务审批程序和报销手续。各预算单位应从严控制暂不使用公务卡结算的支出事项，必要时报销申请人应提供不能使用公务卡结算的证明材料。</w:t>
            </w:r>
            <w:r w:rsidRPr="00812F92">
              <w:rPr>
                <w:rFonts w:ascii="宋体" w:eastAsia="宋体" w:hAnsi="宋体" w:cs="宋体" w:hint="eastAsia"/>
                <w:color w:val="3D3D3D"/>
                <w:kern w:val="0"/>
                <w:sz w:val="24"/>
                <w:szCs w:val="24"/>
              </w:rPr>
              <w:br/>
              <w:t xml:space="preserve">　　（二）加强动态监控。我厅将对省级预算单位执行公务卡强制结算目录情况实施动态监控，及时发现并纠正通过单位零余额账户违规取现问题，确保公务卡强制结算目录制度有效落实。</w:t>
            </w:r>
            <w:r w:rsidRPr="00812F92">
              <w:rPr>
                <w:rFonts w:ascii="宋体" w:eastAsia="宋体" w:hAnsi="宋体" w:cs="宋体" w:hint="eastAsia"/>
                <w:color w:val="3D3D3D"/>
                <w:kern w:val="0"/>
                <w:sz w:val="24"/>
                <w:szCs w:val="24"/>
              </w:rPr>
              <w:br/>
              <w:t xml:space="preserve">　　附件：省级预算单位公务卡强制结算目录　　　　　　　　　　　　　　　　　　　　　　　　　　　　　　</w:t>
            </w:r>
          </w:p>
          <w:p w:rsidR="00812F92" w:rsidRDefault="00812F92" w:rsidP="00812F92">
            <w:pPr>
              <w:widowControl/>
              <w:spacing w:before="100" w:beforeAutospacing="1" w:after="100" w:afterAutospacing="1" w:line="528" w:lineRule="atLeast"/>
              <w:jc w:val="right"/>
              <w:rPr>
                <w:rFonts w:ascii="宋体" w:eastAsia="宋体" w:hAnsi="宋体" w:cs="宋体"/>
                <w:color w:val="3D3D3D"/>
                <w:kern w:val="0"/>
                <w:sz w:val="24"/>
                <w:szCs w:val="24"/>
              </w:rPr>
            </w:pPr>
            <w:r w:rsidRPr="00812F92">
              <w:rPr>
                <w:rFonts w:ascii="宋体" w:eastAsia="宋体" w:hAnsi="宋体" w:cs="宋体" w:hint="eastAsia"/>
                <w:color w:val="3D3D3D"/>
                <w:kern w:val="0"/>
                <w:sz w:val="24"/>
                <w:szCs w:val="24"/>
              </w:rPr>
              <w:t xml:space="preserve">　　　　　　　　　　　　　　　　　　　　　　　　　　　　　　　　　　　　　　　　</w:t>
            </w:r>
            <w:r>
              <w:rPr>
                <w:rFonts w:ascii="宋体" w:eastAsia="宋体" w:hAnsi="宋体" w:cs="宋体" w:hint="eastAsia"/>
                <w:color w:val="3D3D3D"/>
                <w:kern w:val="0"/>
                <w:sz w:val="24"/>
                <w:szCs w:val="24"/>
              </w:rPr>
              <w:t xml:space="preserve">                  </w:t>
            </w:r>
            <w:r w:rsidRPr="00812F92">
              <w:rPr>
                <w:rFonts w:ascii="宋体" w:eastAsia="宋体" w:hAnsi="宋体" w:cs="宋体" w:hint="eastAsia"/>
                <w:color w:val="3D3D3D"/>
                <w:kern w:val="0"/>
                <w:sz w:val="24"/>
                <w:szCs w:val="24"/>
              </w:rPr>
              <w:t>江苏省财政厅</w:t>
            </w:r>
            <w:r w:rsidRPr="00812F92">
              <w:rPr>
                <w:rFonts w:ascii="宋体" w:eastAsia="宋体" w:hAnsi="宋体" w:cs="宋体" w:hint="eastAsia"/>
                <w:color w:val="3D3D3D"/>
                <w:kern w:val="0"/>
                <w:sz w:val="24"/>
                <w:szCs w:val="24"/>
              </w:rPr>
              <w:br/>
              <w:t xml:space="preserve">　　　　　　　　　　　　　　　　　　　　　　　　　　　　　　　　　　　　　　　　2016年3月11日</w:t>
            </w:r>
          </w:p>
          <w:p w:rsidR="00812F92" w:rsidRDefault="00812F92" w:rsidP="00812F92">
            <w:pPr>
              <w:widowControl/>
              <w:spacing w:before="100" w:beforeAutospacing="1" w:after="100" w:afterAutospacing="1" w:line="528" w:lineRule="atLeast"/>
              <w:jc w:val="right"/>
              <w:rPr>
                <w:rFonts w:ascii="宋体" w:eastAsia="宋体" w:hAnsi="宋体" w:cs="宋体"/>
                <w:color w:val="3D3D3D"/>
                <w:kern w:val="0"/>
                <w:sz w:val="24"/>
                <w:szCs w:val="24"/>
              </w:rPr>
            </w:pPr>
          </w:p>
          <w:p w:rsidR="00812F92" w:rsidRDefault="00812F92" w:rsidP="00812F92">
            <w:pPr>
              <w:widowControl/>
              <w:spacing w:before="100" w:beforeAutospacing="1" w:after="100" w:afterAutospacing="1" w:line="528" w:lineRule="atLeast"/>
              <w:jc w:val="right"/>
              <w:rPr>
                <w:rFonts w:ascii="宋体" w:eastAsia="宋体" w:hAnsi="宋体" w:cs="宋体"/>
                <w:color w:val="3D3D3D"/>
                <w:kern w:val="0"/>
                <w:sz w:val="24"/>
                <w:szCs w:val="24"/>
              </w:rPr>
            </w:pPr>
          </w:p>
          <w:p w:rsidR="00812F92" w:rsidRDefault="00812F92" w:rsidP="00812F92">
            <w:pPr>
              <w:widowControl/>
              <w:spacing w:before="100" w:beforeAutospacing="1" w:after="100" w:afterAutospacing="1" w:line="528" w:lineRule="atLeast"/>
              <w:jc w:val="right"/>
              <w:rPr>
                <w:rFonts w:ascii="宋体" w:eastAsia="宋体" w:hAnsi="宋体" w:cs="宋体"/>
                <w:color w:val="3D3D3D"/>
                <w:kern w:val="0"/>
                <w:sz w:val="24"/>
                <w:szCs w:val="24"/>
              </w:rPr>
            </w:pPr>
          </w:p>
          <w:p w:rsidR="00812F92" w:rsidRDefault="00812F92" w:rsidP="00812F92">
            <w:pPr>
              <w:widowControl/>
              <w:spacing w:before="100" w:beforeAutospacing="1" w:after="100" w:afterAutospacing="1" w:line="528" w:lineRule="atLeast"/>
              <w:jc w:val="right"/>
              <w:rPr>
                <w:rFonts w:ascii="宋体" w:eastAsia="宋体" w:hAnsi="宋体" w:cs="宋体"/>
                <w:color w:val="3D3D3D"/>
                <w:kern w:val="0"/>
                <w:sz w:val="24"/>
                <w:szCs w:val="24"/>
              </w:rPr>
            </w:pPr>
          </w:p>
          <w:p w:rsidR="00812F92" w:rsidRDefault="00812F92" w:rsidP="00812F92">
            <w:pPr>
              <w:widowControl/>
              <w:spacing w:before="100" w:beforeAutospacing="1" w:after="100" w:afterAutospacing="1" w:line="528" w:lineRule="atLeast"/>
              <w:jc w:val="right"/>
              <w:rPr>
                <w:rFonts w:ascii="宋体" w:eastAsia="宋体" w:hAnsi="宋体" w:cs="宋体"/>
                <w:color w:val="3D3D3D"/>
                <w:kern w:val="0"/>
                <w:sz w:val="24"/>
                <w:szCs w:val="24"/>
              </w:rPr>
            </w:pPr>
          </w:p>
          <w:p w:rsidR="00812F92" w:rsidRPr="00812F92" w:rsidRDefault="00812F92" w:rsidP="00812F92">
            <w:pPr>
              <w:widowControl/>
              <w:spacing w:before="100" w:beforeAutospacing="1" w:after="100" w:afterAutospacing="1" w:line="528" w:lineRule="atLeast"/>
              <w:jc w:val="center"/>
              <w:rPr>
                <w:rFonts w:ascii="宋体" w:eastAsia="宋体" w:hAnsi="宋体" w:cs="宋体"/>
                <w:color w:val="000000"/>
                <w:kern w:val="0"/>
                <w:sz w:val="24"/>
                <w:szCs w:val="24"/>
              </w:rPr>
            </w:pPr>
            <w:r w:rsidRPr="00812F92">
              <w:rPr>
                <w:rFonts w:ascii="宋体" w:eastAsia="宋体" w:hAnsi="宋体" w:cs="宋体" w:hint="eastAsia"/>
                <w:color w:val="3D3D3D"/>
                <w:kern w:val="0"/>
                <w:sz w:val="24"/>
                <w:szCs w:val="24"/>
              </w:rPr>
              <w:lastRenderedPageBreak/>
              <w:t>省级预算单位公务卡强制结算目录</w:t>
            </w:r>
            <w:r w:rsidRPr="00812F92">
              <w:rPr>
                <w:rFonts w:ascii="宋体" w:eastAsia="宋体" w:hAnsi="宋体" w:cs="宋体" w:hint="eastAsia"/>
                <w:color w:val="3D3D3D"/>
                <w:kern w:val="0"/>
                <w:sz w:val="24"/>
                <w:szCs w:val="24"/>
              </w:rPr>
              <w:br/>
              <w:t xml:space="preserve">　　</w:t>
            </w:r>
          </w:p>
          <w:tbl>
            <w:tblPr>
              <w:tblW w:w="90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0"/>
              <w:gridCol w:w="1927"/>
              <w:gridCol w:w="6203"/>
            </w:tblGrid>
            <w:tr w:rsidR="00812F92" w:rsidRPr="00812F92" w:rsidTr="00BB5FCD">
              <w:trPr>
                <w:trHeight w:val="637"/>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序号</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公务卡结算项目</w:t>
                  </w:r>
                </w:p>
              </w:tc>
              <w:tc>
                <w:tcPr>
                  <w:tcW w:w="6203"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说明</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01</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办公费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指单位购买按财务会计制度规定不符合固定资产确认标准的日常办公用品、书报杂志等支出。</w:t>
                  </w:r>
                </w:p>
              </w:tc>
            </w:tr>
            <w:tr w:rsidR="00812F92" w:rsidRPr="00812F92" w:rsidTr="00BB5FCD">
              <w:trPr>
                <w:trHeight w:val="581"/>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02</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印刷费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指单位的印刷费支出。</w:t>
                  </w:r>
                </w:p>
              </w:tc>
            </w:tr>
            <w:tr w:rsidR="00812F92" w:rsidRPr="00812F92" w:rsidTr="00BB5FCD">
              <w:trPr>
                <w:trHeight w:val="547"/>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03</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咨询费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指单位咨询方面的支出。</w:t>
                  </w:r>
                </w:p>
              </w:tc>
            </w:tr>
            <w:tr w:rsidR="00812F92" w:rsidRPr="00812F92" w:rsidTr="00BB5FCD">
              <w:trPr>
                <w:trHeight w:val="541"/>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04</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手续费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指单位支付的手续费支出。</w:t>
                  </w:r>
                </w:p>
              </w:tc>
            </w:tr>
            <w:tr w:rsidR="00812F92" w:rsidRPr="00812F92" w:rsidTr="00BB186B">
              <w:trPr>
                <w:trHeight w:val="563"/>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05</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水电气费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指单位支付的水电气费支出。</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06</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邮电费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指单位开支的邮寄费、电话费、电报费、传真费、网络通讯费等支出。</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07</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物业管理费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指单位开支的办公用房、职工及离退休人员宿舍等的物业管理费，包括综合治理、绿化、卫生等方面的支出。</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08</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差旅费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指单位工作人员因出差支付的住宿费、旅费、伙食费补助、杂费、干部及大中专学生调遣费、调干家属旅费补助等。</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09</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维修（护）费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指单位日常开支的固定资产（不包括车船等交通工具）修理和维护费用，网络信息系统运行与维护费用。</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10</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租赁费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指租赁办公用房、宿舍、专用通讯网以及其他设备等方面的费用。</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11</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会议费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指会议中按规定开支的房租费、伙食补助费以及文件资料的印刷费、会议场地租用费等。</w:t>
                  </w:r>
                </w:p>
              </w:tc>
            </w:tr>
            <w:tr w:rsidR="00812F92" w:rsidRPr="00812F92" w:rsidTr="00BB186B">
              <w:trPr>
                <w:trHeight w:val="501"/>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12</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培训费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指各类培训支出。</w:t>
                  </w:r>
                </w:p>
              </w:tc>
            </w:tr>
            <w:tr w:rsidR="00812F92" w:rsidRPr="00812F92" w:rsidTr="00BB186B">
              <w:trPr>
                <w:trHeight w:val="551"/>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13</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公务接待费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指单位按规定开支的各类公务接待（含外宾接待）费用。</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14</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专用材料费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812F92" w:rsidRPr="00812F92" w:rsidTr="00ED6750">
              <w:trPr>
                <w:trHeight w:val="492"/>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15</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公务用车运行维护费</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指公务用车的租用费、燃料费、维修费、保险费等支出。</w:t>
                  </w:r>
                </w:p>
              </w:tc>
            </w:tr>
            <w:tr w:rsidR="00812F92" w:rsidRPr="00812F92" w:rsidTr="00BB5FCD">
              <w:trPr>
                <w:tblCellSpacing w:w="0" w:type="dxa"/>
              </w:trPr>
              <w:tc>
                <w:tcPr>
                  <w:tcW w:w="900"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16</w:t>
                  </w:r>
                </w:p>
              </w:tc>
              <w:tc>
                <w:tcPr>
                  <w:tcW w:w="1927" w:type="dxa"/>
                  <w:vAlign w:val="center"/>
                  <w:hideMark/>
                </w:tcPr>
                <w:p w:rsidR="00812F92" w:rsidRPr="00812F92" w:rsidRDefault="00812F92" w:rsidP="00812F92">
                  <w:pPr>
                    <w:widowControl/>
                    <w:spacing w:before="100" w:beforeAutospacing="1" w:after="100" w:afterAutospacing="1" w:line="324" w:lineRule="atLeast"/>
                    <w:jc w:val="center"/>
                    <w:rPr>
                      <w:rFonts w:ascii="宋体" w:eastAsia="宋体" w:hAnsi="宋体" w:cs="宋体"/>
                      <w:color w:val="3D3D3D"/>
                      <w:kern w:val="0"/>
                      <w:szCs w:val="21"/>
                    </w:rPr>
                  </w:pPr>
                  <w:r w:rsidRPr="00812F92">
                    <w:rPr>
                      <w:rFonts w:ascii="宋体" w:eastAsia="宋体" w:hAnsi="宋体" w:cs="宋体" w:hint="eastAsia"/>
                      <w:color w:val="3D3D3D"/>
                      <w:kern w:val="0"/>
                      <w:szCs w:val="21"/>
                    </w:rPr>
                    <w:t>其他交通费用</w:t>
                  </w:r>
                </w:p>
              </w:tc>
              <w:tc>
                <w:tcPr>
                  <w:tcW w:w="6203" w:type="dxa"/>
                  <w:vAlign w:val="center"/>
                  <w:hideMark/>
                </w:tcPr>
                <w:p w:rsidR="00812F92" w:rsidRPr="00812F92" w:rsidRDefault="00812F92" w:rsidP="00812F92">
                  <w:pPr>
                    <w:widowControl/>
                    <w:spacing w:before="100" w:beforeAutospacing="1" w:after="100" w:afterAutospacing="1" w:line="324" w:lineRule="atLeast"/>
                    <w:jc w:val="left"/>
                    <w:rPr>
                      <w:rFonts w:ascii="宋体" w:eastAsia="宋体" w:hAnsi="宋体" w:cs="宋体"/>
                      <w:color w:val="3D3D3D"/>
                      <w:kern w:val="0"/>
                      <w:szCs w:val="21"/>
                    </w:rPr>
                  </w:pPr>
                  <w:r w:rsidRPr="00812F92">
                    <w:rPr>
                      <w:rFonts w:ascii="宋体" w:eastAsia="宋体" w:hAnsi="宋体" w:cs="宋体" w:hint="eastAsia"/>
                      <w:color w:val="3D3D3D"/>
                      <w:kern w:val="0"/>
                      <w:szCs w:val="21"/>
                    </w:rPr>
                    <w:t xml:space="preserve">　　指单位除公务用车运行维护费以外的其他交通费用。如飞机、船舶等的燃料费、维修费、保险费等。</w:t>
                  </w:r>
                </w:p>
              </w:tc>
            </w:tr>
          </w:tbl>
          <w:p w:rsidR="00812F92" w:rsidRPr="00812F92" w:rsidRDefault="00812F92" w:rsidP="00812F92">
            <w:pPr>
              <w:widowControl/>
              <w:spacing w:before="100" w:beforeAutospacing="1" w:after="100" w:afterAutospacing="1" w:line="528" w:lineRule="atLeast"/>
              <w:jc w:val="left"/>
              <w:rPr>
                <w:rFonts w:ascii="宋体" w:eastAsia="宋体" w:hAnsi="宋体" w:cs="宋体"/>
                <w:color w:val="000000"/>
                <w:kern w:val="0"/>
                <w:sz w:val="24"/>
                <w:szCs w:val="24"/>
              </w:rPr>
            </w:pPr>
            <w:r w:rsidRPr="00812F92">
              <w:rPr>
                <w:rFonts w:ascii="宋体" w:eastAsia="宋体" w:hAnsi="宋体" w:cs="宋体" w:hint="eastAsia"/>
                <w:color w:val="3D3D3D"/>
                <w:kern w:val="0"/>
                <w:szCs w:val="21"/>
              </w:rPr>
              <w:t> </w:t>
            </w:r>
          </w:p>
        </w:tc>
      </w:tr>
    </w:tbl>
    <w:p w:rsidR="005862D3" w:rsidRPr="00812F92" w:rsidRDefault="005862D3"/>
    <w:sectPr w:rsidR="005862D3" w:rsidRPr="00812F92" w:rsidSect="00812F9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267" w:rsidRDefault="00F56267" w:rsidP="00637046">
      <w:r>
        <w:separator/>
      </w:r>
    </w:p>
  </w:endnote>
  <w:endnote w:type="continuationSeparator" w:id="1">
    <w:p w:rsidR="00F56267" w:rsidRDefault="00F56267" w:rsidP="00637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267" w:rsidRDefault="00F56267" w:rsidP="00637046">
      <w:r>
        <w:separator/>
      </w:r>
    </w:p>
  </w:footnote>
  <w:footnote w:type="continuationSeparator" w:id="1">
    <w:p w:rsidR="00F56267" w:rsidRDefault="00F56267" w:rsidP="00637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F92"/>
    <w:rsid w:val="005862D3"/>
    <w:rsid w:val="00637046"/>
    <w:rsid w:val="006D785A"/>
    <w:rsid w:val="00812F92"/>
    <w:rsid w:val="00BB186B"/>
    <w:rsid w:val="00BB5FCD"/>
    <w:rsid w:val="00ED6750"/>
    <w:rsid w:val="00F56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F92"/>
    <w:rPr>
      <w:color w:val="0000FF"/>
      <w:u w:val="single"/>
    </w:rPr>
  </w:style>
  <w:style w:type="character" w:customStyle="1" w:styleId="apple-converted-space">
    <w:name w:val="apple-converted-space"/>
    <w:basedOn w:val="a0"/>
    <w:rsid w:val="00812F92"/>
  </w:style>
  <w:style w:type="paragraph" w:styleId="a4">
    <w:name w:val="Normal (Web)"/>
    <w:basedOn w:val="a"/>
    <w:uiPriority w:val="99"/>
    <w:unhideWhenUsed/>
    <w:rsid w:val="00812F9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370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37046"/>
    <w:rPr>
      <w:sz w:val="18"/>
      <w:szCs w:val="18"/>
    </w:rPr>
  </w:style>
  <w:style w:type="paragraph" w:styleId="a6">
    <w:name w:val="footer"/>
    <w:basedOn w:val="a"/>
    <w:link w:val="Char0"/>
    <w:uiPriority w:val="99"/>
    <w:semiHidden/>
    <w:unhideWhenUsed/>
    <w:rsid w:val="0063704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37046"/>
    <w:rPr>
      <w:sz w:val="18"/>
      <w:szCs w:val="18"/>
    </w:rPr>
  </w:style>
</w:styles>
</file>

<file path=word/webSettings.xml><?xml version="1.0" encoding="utf-8"?>
<w:webSettings xmlns:r="http://schemas.openxmlformats.org/officeDocument/2006/relationships" xmlns:w="http://schemas.openxmlformats.org/wordprocessingml/2006/main">
  <w:divs>
    <w:div w:id="6777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F5B3-4745-495F-B60C-6262C7E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294</Words>
  <Characters>1676</Characters>
  <Application>Microsoft Office Word</Application>
  <DocSecurity>0</DocSecurity>
  <Lines>13</Lines>
  <Paragraphs>3</Paragraphs>
  <ScaleCrop>false</ScaleCrop>
  <Company>微软中国</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2016-09-21T02:32:00Z</dcterms:created>
  <dcterms:modified xsi:type="dcterms:W3CDTF">2016-09-21T08:25:00Z</dcterms:modified>
</cp:coreProperties>
</file>