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窗帘采购项目招标公告更正公告</w:t>
      </w:r>
    </w:p>
    <w:p>
      <w:pPr>
        <w:pStyle w:val="2"/>
        <w:jc w:val="left"/>
      </w:pPr>
      <w:r>
        <w:rPr>
          <w:rFonts w:hint="eastAsia"/>
        </w:rPr>
        <w:t>一、项目基本情况：</w:t>
      </w:r>
    </w:p>
    <w:p>
      <w:pPr>
        <w:pStyle w:val="2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原公告的采购项目编号：HYZB20240607044</w:t>
      </w:r>
    </w:p>
    <w:p>
      <w:pPr>
        <w:pStyle w:val="2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原公告的采购项目名称：窗帘采购项目</w:t>
      </w:r>
    </w:p>
    <w:p>
      <w:pPr>
        <w:pStyle w:val="2"/>
        <w:jc w:val="left"/>
        <w:rPr>
          <w:b w:val="0"/>
          <w:bCs w:val="0"/>
        </w:rPr>
      </w:pPr>
      <w:r>
        <w:rPr>
          <w:rFonts w:hint="eastAsia"/>
          <w:b w:val="0"/>
          <w:bCs w:val="0"/>
        </w:rPr>
        <w:t>首次公告日期：2024年0</w:t>
      </w:r>
      <w:r>
        <w:rPr>
          <w:rFonts w:hint="eastAsia"/>
          <w:b w:val="0"/>
          <w:bCs w:val="0"/>
          <w:lang w:val="en-US" w:eastAsia="zh-CN"/>
        </w:rPr>
        <w:t>6</w:t>
      </w:r>
      <w:r>
        <w:rPr>
          <w:rFonts w:hint="eastAsia"/>
          <w:b w:val="0"/>
          <w:bCs w:val="0"/>
        </w:rPr>
        <w:t>月0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日</w:t>
      </w:r>
    </w:p>
    <w:p>
      <w:pPr>
        <w:pStyle w:val="2"/>
        <w:jc w:val="left"/>
      </w:pPr>
      <w:r>
        <w:rPr>
          <w:rFonts w:hint="eastAsia"/>
        </w:rPr>
        <w:t>二、更正信息：</w:t>
      </w:r>
    </w:p>
    <w:p>
      <w:pPr>
        <w:pStyle w:val="2"/>
        <w:jc w:val="left"/>
        <w:rPr>
          <w:b w:val="0"/>
          <w:bCs w:val="0"/>
        </w:rPr>
      </w:pPr>
      <w:r>
        <w:rPr>
          <w:rFonts w:hint="eastAsia"/>
          <w:b w:val="0"/>
          <w:bCs w:val="0"/>
        </w:rPr>
        <w:t>更正事项：</w:t>
      </w:r>
      <w:r>
        <w:rPr>
          <w:rFonts w:hint="eastAsia"/>
          <w:b w:val="0"/>
          <w:bCs w:val="0"/>
          <w:lang w:eastAsia="zh-CN"/>
        </w:rPr>
        <w:t>☑</w:t>
      </w:r>
      <w:r>
        <w:rPr>
          <w:rFonts w:hint="eastAsia"/>
          <w:b w:val="0"/>
          <w:bCs w:val="0"/>
        </w:rPr>
        <w:t>采购公告</w:t>
      </w:r>
      <w:r>
        <w:rPr>
          <w:rFonts w:hint="eastAsia"/>
          <w:b w:val="0"/>
          <w:bCs w:val="0"/>
        </w:rPr>
        <w:sym w:font="Wingdings 2" w:char="00A3"/>
      </w:r>
      <w:r>
        <w:rPr>
          <w:rFonts w:hint="eastAsia"/>
          <w:b w:val="0"/>
          <w:bCs w:val="0"/>
        </w:rPr>
        <w:t xml:space="preserve">采购文件□采购结果     </w:t>
      </w:r>
    </w:p>
    <w:p>
      <w:pPr>
        <w:pStyle w:val="2"/>
        <w:jc w:val="left"/>
        <w:rPr>
          <w:b w:val="0"/>
          <w:bCs w:val="0"/>
        </w:rPr>
      </w:pPr>
      <w:r>
        <w:rPr>
          <w:rFonts w:hint="eastAsia"/>
          <w:b w:val="0"/>
          <w:bCs w:val="0"/>
        </w:rPr>
        <w:t>更正内容：</w:t>
      </w:r>
    </w:p>
    <w:p>
      <w:pPr>
        <w:widowControl/>
        <w:spacing w:line="360" w:lineRule="exact"/>
        <w:ind w:left="567"/>
        <w:jc w:val="lef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三、</w:t>
      </w:r>
      <w:r>
        <w:rPr>
          <w:rFonts w:hint="eastAsia" w:ascii="宋体" w:hAnsi="宋体" w:cs="宋体"/>
          <w:b/>
          <w:sz w:val="24"/>
          <w:lang w:val="en-US" w:eastAsia="zh-CN"/>
        </w:rPr>
        <w:t>采购量</w:t>
      </w:r>
      <w:r>
        <w:rPr>
          <w:rFonts w:hint="eastAsia" w:ascii="宋体" w:hAnsi="宋体" w:cs="宋体"/>
          <w:b/>
          <w:sz w:val="24"/>
          <w:lang w:val="zh-CN"/>
        </w:rPr>
        <w:t>（暂估）</w:t>
      </w:r>
    </w:p>
    <w:p>
      <w:pPr>
        <w:widowControl/>
        <w:spacing w:line="360" w:lineRule="exact"/>
        <w:ind w:left="510" w:firstLine="48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根据相关各类报修（网络、电话报修、分管负责人安排的）新装、维修安排按实结算。2024年度结算价约5万元，2025年度结算价约5万元。</w:t>
      </w:r>
    </w:p>
    <w:p>
      <w:pPr>
        <w:widowControl/>
        <w:spacing w:line="360" w:lineRule="exact"/>
        <w:ind w:left="51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</w:t>
      </w:r>
      <w:r>
        <w:rPr>
          <w:rFonts w:hint="eastAsia" w:ascii="宋体" w:hAnsi="宋体" w:cs="宋体"/>
          <w:b/>
          <w:kern w:val="0"/>
          <w:sz w:val="24"/>
        </w:rPr>
        <w:t>招标明细：</w:t>
      </w:r>
    </w:p>
    <w:tbl>
      <w:tblPr>
        <w:tblStyle w:val="1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新做布窗帘明细预估占比50%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窗帘布种类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备注（含全部辅材）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普通银色遮光布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高精密遮光布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珍珠绒遮光布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遮光卷帘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亚麻纱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韩国绒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拉珠（拉绳均可）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新做百叶窗帘及其他配件明细预估占比15%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样式不得随意更改（颜色可更换）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窗帘辅材维修报价明细表预估占比15%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维修（重新缝纫）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窗帘辅材维修报价明细表预估占比20%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换布钩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换滑轮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</w:tbl>
    <w:p>
      <w:pPr>
        <w:spacing w:line="320" w:lineRule="exact"/>
        <w:ind w:left="-2820"/>
        <w:rPr>
          <w:rFonts w:hint="eastAsia" w:ascii="仿宋" w:hAnsi="仿宋" w:eastAsia="仿宋"/>
          <w:bCs/>
          <w:spacing w:val="22"/>
          <w:sz w:val="24"/>
        </w:rPr>
      </w:pPr>
    </w:p>
    <w:tbl>
      <w:tblPr>
        <w:tblStyle w:val="1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368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 w:hRule="atLeast"/>
        </w:trPr>
        <w:tc>
          <w:tcPr>
            <w:tcW w:w="80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新做布窗帘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窗帘布种类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备注（含全部辅材）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单价（X元/㎡）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普通银色遮光布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高精密遮光布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珍珠绒遮光布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遮光卷帘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亚麻纱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韩国绒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百叶窗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拉珠（拉绳均可）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新做百叶窗帘及其他配件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样式不得随意更改（颜色可更换）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维修（重新缝纫）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换滑轮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百叶窗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附件三：商务标评分表（例表）</w:t>
      </w:r>
    </w:p>
    <w:p>
      <w:pPr>
        <w:widowControl/>
        <w:spacing w:line="360" w:lineRule="exact"/>
        <w:jc w:val="center"/>
        <w:rPr>
          <w:rFonts w:ascii="华文行楷" w:eastAsia="华文行楷"/>
          <w:bCs/>
          <w:spacing w:val="22"/>
          <w:sz w:val="32"/>
          <w:szCs w:val="32"/>
        </w:rPr>
      </w:pPr>
      <w:r>
        <w:rPr>
          <w:rFonts w:hint="eastAsia" w:ascii="华文行楷" w:eastAsia="华文行楷"/>
          <w:bCs/>
          <w:spacing w:val="22"/>
          <w:sz w:val="32"/>
          <w:szCs w:val="32"/>
        </w:rPr>
        <w:t>江苏航院窗帘维修与新装相关服务商务评分文件</w:t>
      </w:r>
    </w:p>
    <w:p>
      <w:pPr>
        <w:widowControl/>
        <w:spacing w:line="360" w:lineRule="exact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华文行楷" w:eastAsia="华文行楷"/>
          <w:bCs/>
          <w:spacing w:val="22"/>
          <w:sz w:val="32"/>
          <w:szCs w:val="32"/>
        </w:rPr>
        <w:t xml:space="preserve"> 评分细则例表：</w:t>
      </w:r>
    </w:p>
    <w:tbl>
      <w:tblPr>
        <w:tblStyle w:val="1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368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新做布窗帘明细占比50%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窗帘布种类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备注（含全部辅材）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报价（X元/㎡）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普通银色遮光布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高精密遮光布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珍珠绒遮光布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遮光卷帘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亚麻纱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韩国绒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拉珠（拉绳均可）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①上述平均价（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13.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新做罗马杆轨道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明细预估占比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样式不得随意更改（颜色可更换）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样式不得随意更改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PVC</w:t>
            </w:r>
            <w:r>
              <w:rPr>
                <w:rFonts w:hint="eastAsia" w:ascii="宋体" w:hAnsi="宋体"/>
                <w:sz w:val="18"/>
                <w:szCs w:val="18"/>
              </w:rPr>
              <w:t>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样式不得随意更改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②上述平均价（3项）小数点后取2两位，去零，不按四舍五入：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罗马杆轨道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维修报价明细表预估占比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换布带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维修（重新缝纫）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③上述平均价（4项）小数点后取2两位，去零，不按四舍五入：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百叶窗卷帘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修报价明细表预估占比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换布钩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套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换滑轮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套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④上述平均价（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最终得分：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11.84</w:t>
            </w:r>
          </w:p>
        </w:tc>
      </w:tr>
    </w:tbl>
    <w:p>
      <w:pPr>
        <w:spacing w:line="36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①至④平均价结果相加：6.1+2.2+1.72+1.72=11.74（最终结果及此单位商务标得分）商务标占比50%，最低价单位记得分50分，余下单位按比例计算：11.74÷50×得分=商务标得分。</w:t>
      </w:r>
    </w:p>
    <w:p>
      <w:pPr>
        <w:pStyle w:val="5"/>
        <w:rPr>
          <w:rFonts w:hint="eastAsia" w:hAnsi="宋体" w:cs="宋体"/>
          <w:b/>
          <w:sz w:val="24"/>
          <w:szCs w:val="24"/>
        </w:rPr>
      </w:pPr>
    </w:p>
    <w:p>
      <w:pPr>
        <w:pStyle w:val="5"/>
        <w:rPr>
          <w:rFonts w:hint="eastAsia" w:hAnsi="宋体" w:cs="宋体"/>
          <w:b/>
          <w:sz w:val="24"/>
          <w:szCs w:val="24"/>
        </w:rPr>
      </w:pPr>
    </w:p>
    <w:p>
      <w:pPr>
        <w:pStyle w:val="5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变更为：</w:t>
      </w:r>
    </w:p>
    <w:p>
      <w:pPr>
        <w:widowControl/>
        <w:spacing w:line="360" w:lineRule="exact"/>
        <w:ind w:left="567"/>
        <w:jc w:val="lef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三、</w:t>
      </w:r>
      <w:r>
        <w:rPr>
          <w:rFonts w:hint="eastAsia" w:ascii="宋体" w:hAnsi="宋体" w:cs="宋体"/>
          <w:b/>
          <w:sz w:val="24"/>
          <w:lang w:val="en-US" w:eastAsia="zh-CN"/>
        </w:rPr>
        <w:t>采购量</w:t>
      </w:r>
      <w:r>
        <w:rPr>
          <w:rFonts w:hint="eastAsia" w:ascii="宋体" w:hAnsi="宋体" w:cs="宋体"/>
          <w:b/>
          <w:sz w:val="24"/>
          <w:lang w:val="zh-CN"/>
        </w:rPr>
        <w:t>（暂估）</w:t>
      </w:r>
    </w:p>
    <w:p>
      <w:pPr>
        <w:widowControl/>
        <w:spacing w:line="360" w:lineRule="exact"/>
        <w:ind w:left="510" w:firstLine="48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根据相关各类报修（网络、电话报修、分管负责人安排的）新装、维修安排按实结算。2024年度结算价约5万元，2025年度结算价约5万元。</w:t>
      </w:r>
    </w:p>
    <w:p>
      <w:pPr>
        <w:widowControl/>
        <w:spacing w:line="360" w:lineRule="exact"/>
        <w:ind w:left="51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</w:t>
      </w:r>
      <w:r>
        <w:rPr>
          <w:rFonts w:hint="eastAsia" w:ascii="宋体" w:hAnsi="宋体" w:cs="宋体"/>
          <w:b/>
          <w:kern w:val="0"/>
          <w:sz w:val="24"/>
        </w:rPr>
        <w:t>招标明细：</w:t>
      </w:r>
    </w:p>
    <w:tbl>
      <w:tblPr>
        <w:tblStyle w:val="1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新做布窗帘明细预估占比50%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窗帘布种类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备注（含全部辅材）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高精密遮光布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棉麻遮光布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珍珠绒遮光布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遮光卷帘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亚麻纱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雪尼尔绒遮光布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测量时按安装完成后的窗帘展开面积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拉珠（拉绳均可）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新做百叶窗帘及其他配件明细预估占比15%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样式不得随意更改（颜色可更换）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窗帘辅材维修报价明细表预估占比15%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维修（重新缝纫）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窗帘辅材维修报价明细表预估占比20%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换布钩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换滑轮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</w:tr>
    </w:tbl>
    <w:p>
      <w:pPr>
        <w:pStyle w:val="6"/>
        <w:rPr>
          <w:rFonts w:hint="eastAsia"/>
        </w:rPr>
      </w:pPr>
    </w:p>
    <w:tbl>
      <w:tblPr>
        <w:tblStyle w:val="1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368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新做布窗帘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窗帘布种类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备注（含全部辅材）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单价（X元/㎡）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高精密遮光布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棉麻遮光布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珍珠绒遮光布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遮光卷帘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亚麻纱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雪尼尔绒遮光布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测量时按安装完成后的窗帘展开面积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百叶窗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拉珠（拉绳均可）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新做百叶窗帘及其他配件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样式不得随意更改（颜色可更换）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样式不得随意更改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铝合金轨道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维修（重新缝纫）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窗帘辅材维修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换布钩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换滑轮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百叶窗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spacing w:line="360" w:lineRule="exact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附件三：商务标评分表（例表）</w:t>
      </w:r>
    </w:p>
    <w:p>
      <w:pPr>
        <w:widowControl/>
        <w:spacing w:line="360" w:lineRule="exact"/>
        <w:jc w:val="center"/>
        <w:rPr>
          <w:rFonts w:ascii="华文行楷" w:eastAsia="华文行楷"/>
          <w:bCs/>
          <w:spacing w:val="22"/>
          <w:sz w:val="32"/>
          <w:szCs w:val="32"/>
        </w:rPr>
      </w:pPr>
      <w:r>
        <w:rPr>
          <w:rFonts w:hint="eastAsia" w:ascii="华文行楷" w:eastAsia="华文行楷"/>
          <w:bCs/>
          <w:spacing w:val="22"/>
          <w:sz w:val="32"/>
          <w:szCs w:val="32"/>
        </w:rPr>
        <w:t>江苏航院窗帘维修与新装相关服务商务评分文件</w:t>
      </w:r>
    </w:p>
    <w:p>
      <w:pPr>
        <w:widowControl/>
        <w:spacing w:line="360" w:lineRule="exact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华文行楷" w:eastAsia="华文行楷"/>
          <w:bCs/>
          <w:spacing w:val="22"/>
          <w:sz w:val="32"/>
          <w:szCs w:val="32"/>
        </w:rPr>
        <w:t xml:space="preserve"> 评分细则例表：</w:t>
      </w:r>
    </w:p>
    <w:tbl>
      <w:tblPr>
        <w:tblStyle w:val="1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368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新做布窗帘明细占比50%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窗帘布种类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备注（含全部辅材）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报价（X元/㎡）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高精密遮光布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棉麻遮光布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珍珠绒遮光布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遮光卷帘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亚麻纱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雪尼尔绒遮光布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测量时按安装完成后的窗帘展开面积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拉珠（拉绳均可）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①上述平均价（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13.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新做罗马杆轨道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明细预估占比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样式不得随意更改（颜色可更换）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样式不得随意更改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PVC</w:t>
            </w:r>
            <w:r>
              <w:rPr>
                <w:rFonts w:hint="eastAsia" w:ascii="宋体" w:hAnsi="宋体"/>
                <w:sz w:val="18"/>
                <w:szCs w:val="18"/>
              </w:rPr>
              <w:t>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样式不得随意更改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②上述平均价（3项）小数点后取2两位，去零，不按四舍五入：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罗马杆轨道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维修报价明细表预估占比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报价（X元/M）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罗马杆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铝合金轨道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换布带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维修（重新缝纫）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③上述平均价（4项）小数点后取2两位，去零，不按四舍五入：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百叶窗卷帘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修报价明细表预估占比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换布钩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卷帘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套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换滑轮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百叶窗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套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④上述平均价（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项）小数点后取2两位，去零，不按四舍五入：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最终得分：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11.84</w:t>
            </w:r>
          </w:p>
        </w:tc>
      </w:tr>
    </w:tbl>
    <w:p>
      <w:pPr>
        <w:rPr>
          <w:rFonts w:hint="eastAsia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Times New Roman" w:hAnsi="Times New Roman"/>
          <w:kern w:val="0"/>
          <w:sz w:val="28"/>
          <w:szCs w:val="32"/>
        </w:rPr>
      </w:pPr>
      <w:r>
        <w:rPr>
          <w:rFonts w:hint="eastAsia" w:ascii="宋体" w:hAnsi="宋体"/>
          <w:sz w:val="24"/>
        </w:rPr>
        <w:t>①至④平均价结果相加：6.1+2.2+1.72+1.72=11.74（最终结果及此单位商务标得分）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 w:eastAsia="zh-TW"/>
        </w:rPr>
        <w:t>商务评标基准分为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40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 w:eastAsia="zh-TW"/>
        </w:rPr>
        <w:t>分，满足招标文件要求且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/>
        </w:rPr>
        <w:t>有效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 w:eastAsia="zh-TW"/>
        </w:rPr>
        <w:t>投标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/>
        </w:rPr>
        <w:t>单相合计报价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 w:eastAsia="zh-TW"/>
        </w:rPr>
        <w:t>最低的投标报价为评标基准价，其价格分为满分（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40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 w:eastAsia="zh-TW"/>
        </w:rPr>
        <w:t>分），其他投标人的价格分统一按照下列公式计算：投标报价得分=(评标基准价／投标报价)×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40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 w:eastAsia="zh-TW"/>
        </w:rPr>
        <w:t>。采用四舍五入法，得分保留小数点后两位</w:t>
      </w:r>
      <w:r>
        <w:rPr>
          <w:rFonts w:hint="eastAsia" w:ascii="宋体" w:hAnsi="宋体" w:eastAsia="宋体" w:cs="宋体"/>
          <w:spacing w:val="-4"/>
          <w:sz w:val="24"/>
          <w:szCs w:val="24"/>
          <w:lang w:val="zh-TW"/>
        </w:rPr>
        <w:t>。</w:t>
      </w:r>
    </w:p>
    <w:p>
      <w:pPr>
        <w:numPr>
          <w:ilvl w:val="0"/>
          <w:numId w:val="1"/>
        </w:numPr>
        <w:snapToGrid w:val="0"/>
        <w:spacing w:line="360" w:lineRule="auto"/>
        <w:contextualSpacing/>
        <w:rPr>
          <w:sz w:val="28"/>
          <w:szCs w:val="28"/>
        </w:rPr>
      </w:pPr>
      <w:r>
        <w:rPr>
          <w:rFonts w:hint="eastAsia" w:ascii="Times New Roman" w:hAnsi="Times New Roman"/>
          <w:b/>
          <w:bCs/>
          <w:kern w:val="0"/>
          <w:sz w:val="28"/>
          <w:szCs w:val="28"/>
        </w:rPr>
        <w:t>其他补充事宜：</w:t>
      </w:r>
      <w:r>
        <w:rPr>
          <w:rFonts w:hint="eastAsia" w:ascii="Times New Roman" w:hAnsi="Times New Roman"/>
          <w:kern w:val="0"/>
          <w:sz w:val="28"/>
          <w:szCs w:val="28"/>
        </w:rPr>
        <w:t>无</w:t>
      </w:r>
    </w:p>
    <w:p>
      <w:pPr>
        <w:snapToGrid w:val="0"/>
        <w:spacing w:line="360" w:lineRule="auto"/>
        <w:contextualSpacing/>
        <w:rPr>
          <w:rFonts w:hint="eastAsia" w:ascii="Times New Roman" w:hAnsi="Times New Roman"/>
          <w:b/>
          <w:bCs/>
          <w:kern w:val="0"/>
          <w:sz w:val="28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contextualSpacing/>
        <w:rPr>
          <w:rFonts w:hint="eastAsia" w:ascii="Times New Roman" w:hAnsi="Times New Roman"/>
          <w:b/>
          <w:bCs/>
          <w:kern w:val="0"/>
          <w:sz w:val="28"/>
          <w:szCs w:val="32"/>
        </w:rPr>
      </w:pPr>
    </w:p>
    <w:p>
      <w:pPr>
        <w:snapToGrid w:val="0"/>
        <w:spacing w:line="360" w:lineRule="auto"/>
        <w:contextualSpacing/>
        <w:rPr>
          <w:rFonts w:hint="eastAsia" w:ascii="Times New Roman" w:hAnsi="Times New Roman"/>
          <w:b/>
          <w:bCs/>
          <w:kern w:val="0"/>
          <w:sz w:val="28"/>
          <w:szCs w:val="32"/>
        </w:rPr>
      </w:pPr>
    </w:p>
    <w:p>
      <w:pPr>
        <w:snapToGrid w:val="0"/>
        <w:spacing w:line="360" w:lineRule="auto"/>
        <w:contextualSpacing/>
        <w:rPr>
          <w:rFonts w:hint="eastAsia" w:ascii="Times New Roman" w:hAnsi="Times New Roman"/>
          <w:b/>
          <w:bCs/>
          <w:kern w:val="0"/>
          <w:sz w:val="28"/>
          <w:szCs w:val="32"/>
        </w:rPr>
      </w:pPr>
    </w:p>
    <w:p>
      <w:pPr>
        <w:snapToGrid w:val="0"/>
        <w:spacing w:line="360" w:lineRule="auto"/>
        <w:contextualSpacing/>
        <w:rPr>
          <w:rFonts w:ascii="Times New Roman" w:hAnsi="Times New Roman"/>
          <w:b/>
          <w:bCs/>
          <w:kern w:val="0"/>
          <w:sz w:val="28"/>
          <w:szCs w:val="32"/>
        </w:rPr>
      </w:pPr>
      <w:r>
        <w:rPr>
          <w:rFonts w:hint="eastAsia" w:ascii="Times New Roman" w:hAnsi="Times New Roman"/>
          <w:b/>
          <w:bCs/>
          <w:kern w:val="0"/>
          <w:sz w:val="28"/>
          <w:szCs w:val="32"/>
        </w:rPr>
        <w:t>四、凡对本次公告提出询问，请按以下方式联系：</w:t>
      </w:r>
    </w:p>
    <w:p>
      <w:pPr>
        <w:snapToGrid w:val="0"/>
        <w:spacing w:line="360" w:lineRule="auto"/>
        <w:contextualSpacing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名称：江苏航运职业技术学院</w:t>
      </w:r>
    </w:p>
    <w:p>
      <w:pPr>
        <w:snapToGrid w:val="0"/>
        <w:spacing w:line="360" w:lineRule="auto"/>
        <w:contextualSpacing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地址：江苏省南通市崇川区通盛大道185号</w:t>
      </w:r>
    </w:p>
    <w:p>
      <w:pPr>
        <w:snapToGrid w:val="0"/>
        <w:spacing w:line="360" w:lineRule="auto"/>
        <w:contextualSpacing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联系人：黄老师</w:t>
      </w:r>
    </w:p>
    <w:p>
      <w:pPr>
        <w:snapToGrid w:val="0"/>
        <w:spacing w:line="360" w:lineRule="auto"/>
        <w:contextualSpacing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联系方式：051385960860</w:t>
      </w:r>
    </w:p>
    <w:p>
      <w:pPr>
        <w:snapToGrid w:val="0"/>
        <w:spacing w:line="360" w:lineRule="auto"/>
        <w:contextualSpacing/>
        <w:rPr>
          <w:rFonts w:ascii="宋体" w:hAnsi="宋体" w:cs="宋体"/>
          <w:color w:val="333333"/>
          <w:sz w:val="28"/>
          <w:szCs w:val="28"/>
          <w:shd w:val="clear" w:color="auto" w:fill="F2F2F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FA063"/>
    <w:multiLevelType w:val="singleLevel"/>
    <w:tmpl w:val="438FA0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hZTEzNWE4ZGI3ZTE5ZWY5Nzc4M2UzZTNlYzczOGEifQ=="/>
  </w:docVars>
  <w:rsids>
    <w:rsidRoot w:val="549342FB"/>
    <w:rsid w:val="002C1630"/>
    <w:rsid w:val="004D2511"/>
    <w:rsid w:val="00A04B6F"/>
    <w:rsid w:val="00A47EC6"/>
    <w:rsid w:val="00AB64D0"/>
    <w:rsid w:val="00B106A2"/>
    <w:rsid w:val="00BA7D90"/>
    <w:rsid w:val="00DC1A71"/>
    <w:rsid w:val="00E70D3A"/>
    <w:rsid w:val="27701DC2"/>
    <w:rsid w:val="3FD6510D"/>
    <w:rsid w:val="43354683"/>
    <w:rsid w:val="549342FB"/>
    <w:rsid w:val="7435002A"/>
    <w:rsid w:val="74A70E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42"/>
    <w:qFormat/>
    <w:uiPriority w:val="9"/>
    <w:pPr>
      <w:spacing w:line="360" w:lineRule="auto"/>
      <w:jc w:val="center"/>
      <w:outlineLvl w:val="1"/>
    </w:pPr>
    <w:rPr>
      <w:rFonts w:ascii="Times New Roman" w:hAnsi="Times New Roman"/>
      <w:b/>
      <w:bCs/>
      <w:kern w:val="0"/>
      <w:sz w:val="28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5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99"/>
    <w:rPr>
      <w:rFonts w:ascii="??_GB2312" w:hAnsi="Arial"/>
      <w:sz w:val="28"/>
      <w:szCs w:val="28"/>
    </w:r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Body Text Indent"/>
    <w:basedOn w:val="1"/>
    <w:link w:val="41"/>
    <w:unhideWhenUsed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37"/>
    <w:qFormat/>
    <w:uiPriority w:val="0"/>
    <w:rPr>
      <w:sz w:val="18"/>
      <w:szCs w:val="18"/>
    </w:rPr>
  </w:style>
  <w:style w:type="paragraph" w:styleId="9">
    <w:name w:val="footer"/>
    <w:basedOn w:val="1"/>
    <w:link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paragraph" w:styleId="12">
    <w:name w:val="annotation subject"/>
    <w:basedOn w:val="3"/>
    <w:next w:val="3"/>
    <w:link w:val="36"/>
    <w:autoRedefine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HTML Definition"/>
    <w:basedOn w:val="14"/>
    <w:qFormat/>
    <w:uiPriority w:val="0"/>
  </w:style>
  <w:style w:type="character" w:styleId="18">
    <w:name w:val="HTML Typewriter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4"/>
    <w:autoRedefine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autoRedefine/>
    <w:qFormat/>
    <w:uiPriority w:val="0"/>
    <w:rPr>
      <w:color w:val="0000FF"/>
      <w:u w:val="none"/>
    </w:rPr>
  </w:style>
  <w:style w:type="character" w:styleId="22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annotation reference"/>
    <w:basedOn w:val="14"/>
    <w:autoRedefine/>
    <w:qFormat/>
    <w:uiPriority w:val="0"/>
    <w:rPr>
      <w:sz w:val="21"/>
      <w:szCs w:val="21"/>
    </w:rPr>
  </w:style>
  <w:style w:type="character" w:styleId="24">
    <w:name w:val="HTML Cite"/>
    <w:basedOn w:val="14"/>
    <w:autoRedefine/>
    <w:qFormat/>
    <w:uiPriority w:val="0"/>
  </w:style>
  <w:style w:type="character" w:styleId="25">
    <w:name w:val="HTML Keyboard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7">
    <w:name w:val="layui-this"/>
    <w:basedOn w:val="14"/>
    <w:qFormat/>
    <w:uiPriority w:val="0"/>
    <w:rPr>
      <w:bdr w:val="single" w:color="EEEEEE" w:sz="6" w:space="0"/>
      <w:shd w:val="clear" w:color="auto" w:fill="FFFFFF"/>
    </w:rPr>
  </w:style>
  <w:style w:type="character" w:customStyle="1" w:styleId="28">
    <w:name w:val="first-child"/>
    <w:basedOn w:val="14"/>
    <w:autoRedefine/>
    <w:qFormat/>
    <w:uiPriority w:val="0"/>
  </w:style>
  <w:style w:type="character" w:customStyle="1" w:styleId="29">
    <w:name w:val="hover2"/>
    <w:basedOn w:val="14"/>
    <w:qFormat/>
    <w:uiPriority w:val="0"/>
    <w:rPr>
      <w:color w:val="5FB878"/>
    </w:rPr>
  </w:style>
  <w:style w:type="character" w:customStyle="1" w:styleId="30">
    <w:name w:val="hover3"/>
    <w:basedOn w:val="14"/>
    <w:qFormat/>
    <w:uiPriority w:val="0"/>
    <w:rPr>
      <w:color w:val="5FB878"/>
    </w:rPr>
  </w:style>
  <w:style w:type="character" w:customStyle="1" w:styleId="31">
    <w:name w:val="hover4"/>
    <w:basedOn w:val="14"/>
    <w:qFormat/>
    <w:uiPriority w:val="0"/>
    <w:rPr>
      <w:color w:val="FFFFFF"/>
    </w:rPr>
  </w:style>
  <w:style w:type="character" w:customStyle="1" w:styleId="32">
    <w:name w:val="layui-this2"/>
    <w:basedOn w:val="14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33">
    <w:name w:val="hover"/>
    <w:basedOn w:val="14"/>
    <w:qFormat/>
    <w:uiPriority w:val="0"/>
    <w:rPr>
      <w:color w:val="5FB878"/>
    </w:rPr>
  </w:style>
  <w:style w:type="character" w:customStyle="1" w:styleId="34">
    <w:name w:val="hover1"/>
    <w:basedOn w:val="14"/>
    <w:autoRedefine/>
    <w:qFormat/>
    <w:uiPriority w:val="0"/>
    <w:rPr>
      <w:color w:val="5FB878"/>
    </w:rPr>
  </w:style>
  <w:style w:type="character" w:customStyle="1" w:styleId="35">
    <w:name w:val="批注文字 Char"/>
    <w:basedOn w:val="14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6">
    <w:name w:val="批注主题 Char"/>
    <w:basedOn w:val="35"/>
    <w:link w:val="12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37">
    <w:name w:val="批注框文本 Char"/>
    <w:basedOn w:val="14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8">
    <w:name w:val="正文1"/>
    <w:next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9">
    <w:name w:val="页眉 Char"/>
    <w:basedOn w:val="14"/>
    <w:link w:val="10"/>
    <w:uiPriority w:val="0"/>
    <w:rPr>
      <w:rFonts w:ascii="Calibri" w:hAnsi="Calibri"/>
      <w:kern w:val="2"/>
      <w:sz w:val="18"/>
      <w:szCs w:val="18"/>
    </w:rPr>
  </w:style>
  <w:style w:type="character" w:customStyle="1" w:styleId="40">
    <w:name w:val="页脚 Char"/>
    <w:basedOn w:val="14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41">
    <w:name w:val="正文文本缩进 Char"/>
    <w:basedOn w:val="14"/>
    <w:link w:val="7"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2">
    <w:name w:val="标题 2 Char"/>
    <w:basedOn w:val="14"/>
    <w:link w:val="2"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2024-05-09T08:22:00Z</dcterms:created>
  <dc:creator>一个胖菇凉</dc:creator>
  <cp:lastModifiedBy>胡</cp:lastModifiedBy>
  <dcterms:modified xsi:type="dcterms:W3CDTF">2024-06-20T08:09:32Z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4CB952CDDDC94643B958E8A3BB6DF477_13</vt:lpwstr>
  </property>
</Properties>
</file>